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BE473" w14:textId="6C9A5F49" w:rsidR="00A50815" w:rsidRPr="005B34EF" w:rsidRDefault="003E3566" w:rsidP="00FE3EA4">
      <w:pPr>
        <w:jc w:val="both"/>
        <w:rPr>
          <w:rFonts w:ascii="Verdana" w:hAnsi="Verdana"/>
          <w:b/>
        </w:rPr>
      </w:pPr>
      <w:r w:rsidRPr="005B34EF">
        <w:rPr>
          <w:rFonts w:ascii="Verdana" w:hAnsi="Verdana"/>
          <w:b/>
        </w:rPr>
        <w:t>Объем накопленных</w:t>
      </w:r>
      <w:r w:rsidR="00307CAF" w:rsidRPr="005B34EF">
        <w:rPr>
          <w:rFonts w:ascii="Verdana" w:hAnsi="Verdana"/>
          <w:b/>
        </w:rPr>
        <w:t xml:space="preserve"> </w:t>
      </w:r>
      <w:r w:rsidR="00B36F2F" w:rsidRPr="005B34EF">
        <w:rPr>
          <w:rFonts w:ascii="Verdana" w:hAnsi="Verdana"/>
          <w:b/>
        </w:rPr>
        <w:t>инвестици</w:t>
      </w:r>
      <w:r w:rsidRPr="005B34EF">
        <w:rPr>
          <w:rFonts w:ascii="Verdana" w:hAnsi="Verdana"/>
          <w:b/>
        </w:rPr>
        <w:t xml:space="preserve">й Китая </w:t>
      </w:r>
      <w:r w:rsidR="00A50815" w:rsidRPr="005B34EF">
        <w:rPr>
          <w:rFonts w:ascii="Verdana" w:hAnsi="Verdana"/>
          <w:b/>
        </w:rPr>
        <w:t>в</w:t>
      </w:r>
      <w:r w:rsidR="00307CAF" w:rsidRPr="005B34EF">
        <w:rPr>
          <w:rFonts w:ascii="Verdana" w:hAnsi="Verdana"/>
          <w:b/>
        </w:rPr>
        <w:t xml:space="preserve"> </w:t>
      </w:r>
      <w:r w:rsidR="00A50815" w:rsidRPr="005B34EF">
        <w:rPr>
          <w:rFonts w:ascii="Verdana" w:hAnsi="Verdana"/>
          <w:b/>
        </w:rPr>
        <w:t>Евразийском</w:t>
      </w:r>
      <w:r w:rsidR="00307CAF" w:rsidRPr="005B34EF">
        <w:rPr>
          <w:rFonts w:ascii="Verdana" w:hAnsi="Verdana"/>
          <w:b/>
        </w:rPr>
        <w:t xml:space="preserve"> </w:t>
      </w:r>
      <w:r w:rsidR="00A50815" w:rsidRPr="005B34EF">
        <w:rPr>
          <w:rFonts w:ascii="Verdana" w:hAnsi="Verdana"/>
          <w:b/>
        </w:rPr>
        <w:t>регионе</w:t>
      </w:r>
      <w:r w:rsidR="00307CAF" w:rsidRPr="005B34EF">
        <w:rPr>
          <w:rFonts w:ascii="Verdana" w:hAnsi="Verdana"/>
          <w:b/>
        </w:rPr>
        <w:t xml:space="preserve"> </w:t>
      </w:r>
      <w:r w:rsidRPr="005B34EF">
        <w:rPr>
          <w:rFonts w:ascii="Verdana" w:hAnsi="Verdana"/>
          <w:b/>
        </w:rPr>
        <w:t xml:space="preserve">превысил </w:t>
      </w:r>
      <w:r w:rsidR="00A50815" w:rsidRPr="005B34EF">
        <w:rPr>
          <w:rFonts w:ascii="Verdana" w:hAnsi="Verdana"/>
          <w:b/>
        </w:rPr>
        <w:t>$</w:t>
      </w:r>
      <w:r w:rsidRPr="005B34EF">
        <w:rPr>
          <w:rFonts w:ascii="Verdana" w:hAnsi="Verdana"/>
          <w:b/>
        </w:rPr>
        <w:t>66</w:t>
      </w:r>
      <w:r w:rsidR="007D519A" w:rsidRPr="005B34EF">
        <w:rPr>
          <w:rFonts w:ascii="Verdana" w:hAnsi="Verdana"/>
          <w:b/>
        </w:rPr>
        <w:t> </w:t>
      </w:r>
      <w:r w:rsidR="00A50815" w:rsidRPr="005B34EF">
        <w:rPr>
          <w:rFonts w:ascii="Verdana" w:hAnsi="Verdana"/>
          <w:b/>
        </w:rPr>
        <w:t>млрд:</w:t>
      </w:r>
      <w:r w:rsidR="00307CAF" w:rsidRPr="005B34EF">
        <w:rPr>
          <w:rFonts w:ascii="Verdana" w:hAnsi="Verdana"/>
          <w:b/>
        </w:rPr>
        <w:t xml:space="preserve"> </w:t>
      </w:r>
      <w:r w:rsidR="00A50815" w:rsidRPr="005B34EF">
        <w:rPr>
          <w:rFonts w:ascii="Verdana" w:hAnsi="Verdana"/>
          <w:b/>
        </w:rPr>
        <w:t>новый</w:t>
      </w:r>
      <w:r w:rsidR="00307CAF" w:rsidRPr="005B34EF">
        <w:rPr>
          <w:rFonts w:ascii="Verdana" w:hAnsi="Verdana"/>
          <w:b/>
        </w:rPr>
        <w:t xml:space="preserve"> </w:t>
      </w:r>
      <w:r w:rsidR="00A50815" w:rsidRPr="005B34EF">
        <w:rPr>
          <w:rFonts w:ascii="Verdana" w:hAnsi="Verdana"/>
          <w:b/>
        </w:rPr>
        <w:t>доклад</w:t>
      </w:r>
      <w:r w:rsidR="00307CAF" w:rsidRPr="005B34EF">
        <w:rPr>
          <w:rFonts w:ascii="Verdana" w:hAnsi="Verdana"/>
          <w:b/>
        </w:rPr>
        <w:t xml:space="preserve"> </w:t>
      </w:r>
      <w:r w:rsidR="00A50815" w:rsidRPr="005B34EF">
        <w:rPr>
          <w:rFonts w:ascii="Verdana" w:hAnsi="Verdana"/>
          <w:b/>
        </w:rPr>
        <w:t>ЕАБР</w:t>
      </w:r>
    </w:p>
    <w:p w14:paraId="5A9D1DE4" w14:textId="77777777" w:rsidR="005948B8" w:rsidRPr="005B34EF" w:rsidRDefault="005948B8" w:rsidP="00FE3EA4">
      <w:pPr>
        <w:jc w:val="both"/>
        <w:rPr>
          <w:rFonts w:ascii="Verdana" w:hAnsi="Verdana"/>
          <w:b/>
        </w:rPr>
      </w:pPr>
    </w:p>
    <w:p w14:paraId="12E6D0CC" w14:textId="5048A70F" w:rsidR="007F1B87" w:rsidRPr="00804DFB" w:rsidRDefault="007F1B87" w:rsidP="007F1B87">
      <w:pPr>
        <w:spacing w:before="120" w:after="120" w:line="240" w:lineRule="auto"/>
        <w:jc w:val="both"/>
        <w:rPr>
          <w:rFonts w:ascii="Verdana" w:eastAsia="Times New Roman" w:hAnsi="Verdana" w:cs="Times New Roman"/>
          <w:bCs/>
          <w:i/>
          <w:lang w:eastAsia="ru-RU"/>
        </w:rPr>
      </w:pPr>
      <w:r w:rsidRPr="00804DFB">
        <w:rPr>
          <w:rFonts w:ascii="Verdana" w:eastAsia="Times New Roman" w:hAnsi="Verdana" w:cs="Times New Roman"/>
          <w:bCs/>
          <w:i/>
          <w:lang w:eastAsia="ru-RU"/>
        </w:rPr>
        <w:t>Евразийский банк развития (ЕАБР) опубликовал второй доклад в рамках флагманского проекта «Мониторинг взаимных инвестиций». Доклад посвящен Китаю - главному инвестиционному партнеру Евразийского региона в 2025 г. Китайские инвестиции в регион продолжают устойчиво расти вопреки глобальному спаду потоков ПИИ. За последние 10 лет их объем увеличился на 80% и достиг рекордных $66 млрд к концу первого полугодия 2025 г</w:t>
      </w:r>
      <w:r w:rsidR="00804DFB">
        <w:rPr>
          <w:rFonts w:ascii="Verdana" w:eastAsia="Times New Roman" w:hAnsi="Verdana" w:cs="Times New Roman"/>
          <w:bCs/>
          <w:i/>
          <w:lang w:eastAsia="ru-RU"/>
        </w:rPr>
        <w:t>.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Если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раньше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Китай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инвестировал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преимущественно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в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сырьевые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проекты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,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то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новыми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драйверами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роста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становятся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проекты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в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обрабатывающей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промышленности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и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 xml:space="preserve"> </w:t>
      </w:r>
      <w:r w:rsidR="00F10592" w:rsidRPr="00804DFB">
        <w:rPr>
          <w:rFonts w:ascii="Verdana" w:eastAsia="Times New Roman" w:hAnsi="Verdana" w:cs="Times New Roman" w:hint="eastAsia"/>
          <w:bCs/>
          <w:i/>
          <w:lang w:eastAsia="ru-RU"/>
        </w:rPr>
        <w:t>энергетике</w:t>
      </w:r>
      <w:r w:rsidR="00F10592" w:rsidRPr="00804DFB">
        <w:rPr>
          <w:rFonts w:ascii="Verdana" w:eastAsia="Times New Roman" w:hAnsi="Verdana" w:cs="Times New Roman"/>
          <w:bCs/>
          <w:i/>
          <w:lang w:eastAsia="ru-RU"/>
        </w:rPr>
        <w:t>.</w:t>
      </w:r>
    </w:p>
    <w:p w14:paraId="5CF0BC7F" w14:textId="77777777" w:rsidR="00F10592" w:rsidRPr="005B34EF" w:rsidRDefault="00F10592" w:rsidP="007F1B87">
      <w:pPr>
        <w:spacing w:before="120" w:after="120" w:line="240" w:lineRule="auto"/>
        <w:jc w:val="both"/>
        <w:rPr>
          <w:rFonts w:ascii="Verdana" w:eastAsia="Times New Roman" w:hAnsi="Verdana" w:cs="Times New Roman"/>
          <w:bCs/>
          <w:lang w:eastAsia="ru-RU"/>
        </w:rPr>
      </w:pPr>
    </w:p>
    <w:p w14:paraId="572FF2A7" w14:textId="77777777" w:rsidR="007F1B87" w:rsidRPr="005B34EF" w:rsidRDefault="007F1B87" w:rsidP="007F1B87">
      <w:pPr>
        <w:spacing w:before="120" w:after="120" w:line="240" w:lineRule="auto"/>
        <w:jc w:val="both"/>
        <w:outlineLvl w:val="2"/>
        <w:rPr>
          <w:rFonts w:ascii="Verdana" w:eastAsia="Times New Roman" w:hAnsi="Verdana" w:cs="Times New Roman"/>
          <w:b/>
          <w:bCs/>
          <w:u w:val="single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u w:val="single"/>
          <w:lang w:eastAsia="ru-RU"/>
        </w:rPr>
        <w:t>Ключевые выводы доклада</w:t>
      </w:r>
    </w:p>
    <w:p w14:paraId="657CC93B" w14:textId="77777777" w:rsidR="007F1B87" w:rsidRPr="005B34EF" w:rsidRDefault="007F1B87" w:rsidP="007F1B87">
      <w:pPr>
        <w:numPr>
          <w:ilvl w:val="0"/>
          <w:numId w:val="16"/>
        </w:num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Китайские инвестиции в Евразийский регион растут на фоне глобального спада:</w:t>
      </w:r>
      <w:r w:rsidRPr="005B34EF">
        <w:rPr>
          <w:rFonts w:ascii="Verdana" w:eastAsia="Times New Roman" w:hAnsi="Verdana" w:cs="Times New Roman"/>
          <w:lang w:eastAsia="ru-RU"/>
        </w:rPr>
        <w:t xml:space="preserve"> За последние полтора года китайские вложения в Евразийский регион выросли на $7,4 млрд (+13% к 2023 г.), тогда как глобальные потоки ПИИ в 2024 г. снизились на 11%.</w:t>
      </w:r>
    </w:p>
    <w:p w14:paraId="7F40D118" w14:textId="77777777" w:rsidR="007F1B87" w:rsidRPr="005B34EF" w:rsidRDefault="007F1B87" w:rsidP="007F1B87">
      <w:pPr>
        <w:numPr>
          <w:ilvl w:val="0"/>
          <w:numId w:val="16"/>
        </w:num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Сотрудничество подтверждено на высшем уровне.</w:t>
      </w:r>
      <w:r w:rsidRPr="005B34EF">
        <w:rPr>
          <w:rFonts w:ascii="Verdana" w:eastAsia="Times New Roman" w:hAnsi="Verdana" w:cs="Times New Roman"/>
          <w:lang w:eastAsia="ru-RU"/>
        </w:rPr>
        <w:t xml:space="preserve"> Приоритетность инвестиционного взаимодействия закреплена в Тянцзинской декларации ШОС и Астанинской декларации второго саммита «Центральная Азия — Китай». Оно соответствует целям инициативы «Пояс и путь».</w:t>
      </w:r>
    </w:p>
    <w:p w14:paraId="74A27ECD" w14:textId="77777777" w:rsidR="007F1B87" w:rsidRPr="005B34EF" w:rsidRDefault="007F1B87" w:rsidP="007F1B87">
      <w:pPr>
        <w:numPr>
          <w:ilvl w:val="0"/>
          <w:numId w:val="16"/>
        </w:num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Частный китайский бизнес наращивает инвестиции в регион.</w:t>
      </w:r>
      <w:r w:rsidRPr="005B34EF">
        <w:rPr>
          <w:rFonts w:ascii="Verdana" w:eastAsia="Times New Roman" w:hAnsi="Verdana" w:cs="Times New Roman"/>
          <w:lang w:eastAsia="ru-RU"/>
        </w:rPr>
        <w:t xml:space="preserve"> Их доля в структуре инвестиций выросла с 22% до 27% за 10 лет, тогда как доля госкомпаний снизилась с 62% до 53%.</w:t>
      </w:r>
    </w:p>
    <w:p w14:paraId="18E76CB2" w14:textId="77777777" w:rsidR="007F1B87" w:rsidRPr="005B34EF" w:rsidRDefault="007F1B87" w:rsidP="007F1B87">
      <w:pPr>
        <w:numPr>
          <w:ilvl w:val="0"/>
          <w:numId w:val="16"/>
        </w:num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Структурный сдвиг: от сырья к производству и энергетике.</w:t>
      </w:r>
      <w:r w:rsidRPr="005B34EF">
        <w:rPr>
          <w:rFonts w:ascii="Verdana" w:eastAsia="Times New Roman" w:hAnsi="Verdana" w:cs="Times New Roman"/>
          <w:lang w:eastAsia="ru-RU"/>
        </w:rPr>
        <w:t xml:space="preserve"> Доля обрабатывающей промышленности выросла с 13% до 22%, энергетики — с 4% до 12%, тогда как доля сырьевого сектора сократилась с 68% до 54%.</w:t>
      </w:r>
    </w:p>
    <w:p w14:paraId="5DAD45B1" w14:textId="222FE5F1" w:rsidR="00F10592" w:rsidRPr="00804DFB" w:rsidRDefault="00F10592" w:rsidP="00F10592">
      <w:pPr>
        <w:numPr>
          <w:ilvl w:val="0"/>
          <w:numId w:val="16"/>
        </w:num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804DFB">
        <w:rPr>
          <w:rFonts w:ascii="Verdana" w:eastAsia="Times New Roman" w:hAnsi="Verdana" w:cs="Times New Roman"/>
          <w:b/>
          <w:bCs/>
          <w:lang w:eastAsia="ru-RU"/>
        </w:rPr>
        <w:t xml:space="preserve">В Центральной Азии Казахстан лидирует по объему привлеченных инвестиций, а Узбекистан -  по темпам прироста. </w:t>
      </w:r>
      <w:r w:rsidRPr="00804DFB">
        <w:rPr>
          <w:rFonts w:ascii="Verdana" w:eastAsia="Times New Roman" w:hAnsi="Verdana" w:cs="Times New Roman"/>
          <w:lang w:eastAsia="ru-RU"/>
        </w:rPr>
        <w:t>За 10 лет прирост китайских ПИИ в Узбекистан составил $10,4 млрд. Общий объем инвестиций Китая в Центральную Азию достиг $36 млрд к середине 2025 года.</w:t>
      </w:r>
    </w:p>
    <w:p w14:paraId="4E2F55D1" w14:textId="207730D7" w:rsidR="007F1B87" w:rsidRPr="005B34EF" w:rsidRDefault="007F1B87" w:rsidP="007F1B87">
      <w:pPr>
        <w:numPr>
          <w:ilvl w:val="0"/>
          <w:numId w:val="16"/>
        </w:num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Greenfield — доминирующая форма инвестиций.</w:t>
      </w:r>
      <w:r w:rsidRPr="005B34EF">
        <w:rPr>
          <w:rFonts w:ascii="Verdana" w:eastAsia="Times New Roman" w:hAnsi="Verdana" w:cs="Times New Roman"/>
          <w:lang w:eastAsia="ru-RU"/>
        </w:rPr>
        <w:t xml:space="preserve"> </w:t>
      </w:r>
      <w:r w:rsidR="00EA4B80" w:rsidRPr="005B34EF">
        <w:rPr>
          <w:rFonts w:ascii="Verdana" w:eastAsia="Times New Roman" w:hAnsi="Verdana" w:cs="Times New Roman"/>
          <w:lang w:eastAsia="ru-RU"/>
        </w:rPr>
        <w:t xml:space="preserve">Доля первичных проектов выросла с 43% до 60%, что отражает </w:t>
      </w:r>
      <w:r w:rsidR="00EA4B80">
        <w:rPr>
          <w:rFonts w:ascii="Verdana" w:eastAsia="Times New Roman" w:hAnsi="Verdana" w:cs="Times New Roman"/>
          <w:lang w:eastAsia="ru-RU"/>
        </w:rPr>
        <w:t>технологическую зрелость китайских компаний.</w:t>
      </w:r>
    </w:p>
    <w:p w14:paraId="0A5362B2" w14:textId="0487B77B" w:rsidR="00BE60A4" w:rsidRPr="005B34EF" w:rsidRDefault="00BE60A4" w:rsidP="009E2C8F">
      <w:pPr>
        <w:pStyle w:val="AZA-Text"/>
        <w:rPr>
          <w:b/>
          <w:u w:val="single"/>
        </w:rPr>
      </w:pPr>
      <w:r w:rsidRPr="005B34EF">
        <w:rPr>
          <w:b/>
          <w:u w:val="single"/>
        </w:rPr>
        <w:t>Подробно</w:t>
      </w:r>
      <w:r w:rsidR="00307CAF" w:rsidRPr="005B34EF">
        <w:rPr>
          <w:b/>
          <w:u w:val="single"/>
        </w:rPr>
        <w:t xml:space="preserve"> </w:t>
      </w:r>
      <w:r w:rsidRPr="005B34EF">
        <w:rPr>
          <w:b/>
          <w:u w:val="single"/>
        </w:rPr>
        <w:t>о</w:t>
      </w:r>
      <w:r w:rsidR="00307CAF" w:rsidRPr="005B34EF">
        <w:rPr>
          <w:b/>
          <w:u w:val="single"/>
        </w:rPr>
        <w:t xml:space="preserve"> </w:t>
      </w:r>
      <w:r w:rsidRPr="005B34EF">
        <w:rPr>
          <w:b/>
          <w:u w:val="single"/>
        </w:rPr>
        <w:t>докладе:</w:t>
      </w:r>
    </w:p>
    <w:p w14:paraId="64C5D094" w14:textId="04E440B4" w:rsidR="00FF6FE2" w:rsidRPr="005B34EF" w:rsidRDefault="00FF6FE2" w:rsidP="00FE3EA4">
      <w:pPr>
        <w:pStyle w:val="a3"/>
        <w:spacing w:before="120" w:after="120" w:line="240" w:lineRule="auto"/>
        <w:ind w:left="0"/>
        <w:contextualSpacing w:val="0"/>
        <w:jc w:val="both"/>
        <w:rPr>
          <w:rFonts w:ascii="Verdana" w:hAnsi="Verdana"/>
        </w:rPr>
      </w:pPr>
      <w:r w:rsidRPr="005B34EF">
        <w:rPr>
          <w:rFonts w:ascii="Verdana" w:hAnsi="Verdana"/>
          <w:i/>
          <w:iCs/>
        </w:rPr>
        <w:t>Евразийский</w:t>
      </w:r>
      <w:r w:rsidR="00307CAF" w:rsidRPr="005B34EF">
        <w:rPr>
          <w:rFonts w:ascii="Verdana" w:hAnsi="Verdana"/>
          <w:i/>
          <w:iCs/>
        </w:rPr>
        <w:t xml:space="preserve"> </w:t>
      </w:r>
      <w:r w:rsidRPr="005B34EF">
        <w:rPr>
          <w:rFonts w:ascii="Verdana" w:hAnsi="Verdana"/>
          <w:i/>
          <w:iCs/>
        </w:rPr>
        <w:t>банк</w:t>
      </w:r>
      <w:r w:rsidR="00307CAF" w:rsidRPr="005B34EF">
        <w:rPr>
          <w:rFonts w:ascii="Verdana" w:hAnsi="Verdana"/>
          <w:i/>
          <w:iCs/>
        </w:rPr>
        <w:t xml:space="preserve"> </w:t>
      </w:r>
      <w:r w:rsidRPr="005B34EF">
        <w:rPr>
          <w:rFonts w:ascii="Verdana" w:hAnsi="Verdana"/>
          <w:i/>
          <w:iCs/>
        </w:rPr>
        <w:t>развития</w:t>
      </w:r>
      <w:r w:rsidR="00307CAF" w:rsidRPr="005B34EF">
        <w:rPr>
          <w:rFonts w:ascii="Verdana" w:hAnsi="Verdana"/>
          <w:i/>
          <w:iCs/>
        </w:rPr>
        <w:t xml:space="preserve"> </w:t>
      </w:r>
      <w:r w:rsidRPr="005B34EF">
        <w:rPr>
          <w:rFonts w:ascii="Verdana" w:hAnsi="Verdana"/>
          <w:i/>
          <w:iCs/>
        </w:rPr>
        <w:t>(ЕАБР,</w:t>
      </w:r>
      <w:r w:rsidR="00307CAF" w:rsidRPr="005B34EF">
        <w:rPr>
          <w:rFonts w:ascii="Verdana" w:hAnsi="Verdana"/>
          <w:i/>
          <w:iCs/>
        </w:rPr>
        <w:t xml:space="preserve"> </w:t>
      </w:r>
      <w:r w:rsidRPr="005B34EF">
        <w:rPr>
          <w:rFonts w:ascii="Verdana" w:hAnsi="Verdana"/>
          <w:i/>
          <w:iCs/>
        </w:rPr>
        <w:t>Банк)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продолжает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серию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публикаций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в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рамках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своего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флагманского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аналитического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проекта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-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  <w:b/>
          <w:bCs/>
        </w:rPr>
        <w:t>«Мониторинг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взаимных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инвестиций»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(МВИ)</w:t>
      </w:r>
      <w:r w:rsidR="003E3423" w:rsidRPr="005B34EF">
        <w:rPr>
          <w:rFonts w:ascii="Verdana" w:hAnsi="Verdana"/>
          <w:b/>
          <w:bCs/>
        </w:rPr>
        <w:t>.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</w:rPr>
        <w:t>В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основе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МВИ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ЕАБР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лежит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  <w:b/>
          <w:bCs/>
        </w:rPr>
        <w:t>уникальная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база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данных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инвестиционных</w:t>
      </w:r>
      <w:r w:rsidR="00307CAF" w:rsidRPr="005B34EF">
        <w:rPr>
          <w:rFonts w:ascii="Verdana" w:hAnsi="Verdana"/>
          <w:b/>
          <w:bCs/>
        </w:rPr>
        <w:t xml:space="preserve"> </w:t>
      </w:r>
      <w:r w:rsidRPr="005B34EF">
        <w:rPr>
          <w:rFonts w:ascii="Verdana" w:hAnsi="Verdana"/>
          <w:b/>
          <w:bCs/>
        </w:rPr>
        <w:t>проектов</w:t>
      </w:r>
      <w:r w:rsidR="00597A5B" w:rsidRPr="005B34EF">
        <w:rPr>
          <w:rFonts w:ascii="Verdana" w:hAnsi="Verdana"/>
          <w:b/>
          <w:bCs/>
        </w:rPr>
        <w:t>.</w:t>
      </w:r>
      <w:r w:rsidR="00307CAF" w:rsidRPr="005B34EF">
        <w:rPr>
          <w:rFonts w:ascii="Verdana" w:hAnsi="Verdana"/>
        </w:rPr>
        <w:t xml:space="preserve"> </w:t>
      </w:r>
      <w:r w:rsidR="00597A5B" w:rsidRPr="005B34EF">
        <w:rPr>
          <w:rFonts w:ascii="Verdana" w:hAnsi="Verdana"/>
        </w:rPr>
        <w:t>Она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содерж</w:t>
      </w:r>
      <w:r w:rsidR="00597A5B" w:rsidRPr="005B34EF">
        <w:rPr>
          <w:rFonts w:ascii="Verdana" w:hAnsi="Verdana"/>
        </w:rPr>
        <w:t>ит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детализированные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сведения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накопленных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взаимных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ПИИ.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База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формируется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по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принципу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  <w:iCs/>
        </w:rPr>
        <w:t>«снизу-вверх»</w:t>
      </w:r>
      <w:r w:rsidRPr="005B34EF">
        <w:rPr>
          <w:rFonts w:ascii="Verdana" w:hAnsi="Verdana"/>
        </w:rPr>
        <w:t>,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на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основе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верифицированной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информации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из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открытых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источников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-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lastRenderedPageBreak/>
        <w:t>корпоративных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отчетов,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государственных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реестров,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статистических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агентств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деловых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СМИ.</w:t>
      </w:r>
    </w:p>
    <w:p w14:paraId="4392FD0D" w14:textId="2694FCF6" w:rsidR="007D2700" w:rsidRPr="005B34EF" w:rsidRDefault="007D2700" w:rsidP="00FE3EA4">
      <w:pPr>
        <w:pStyle w:val="a3"/>
        <w:spacing w:before="120" w:after="120" w:line="240" w:lineRule="auto"/>
        <w:ind w:left="0"/>
        <w:contextualSpacing w:val="0"/>
        <w:jc w:val="both"/>
        <w:rPr>
          <w:rFonts w:ascii="Verdana" w:hAnsi="Verdana"/>
        </w:rPr>
      </w:pPr>
      <w:r w:rsidRPr="005B34EF">
        <w:rPr>
          <w:rFonts w:ascii="Verdana" w:hAnsi="Verdana"/>
        </w:rPr>
        <w:t xml:space="preserve">Приоритетность развития инвестиционного сотрудничества между Китаем и странами Евразийского региона подтверждена на высшем двустороннем и многостороннем уровне, включая </w:t>
      </w:r>
      <w:proofErr w:type="spellStart"/>
      <w:r w:rsidRPr="005B34EF">
        <w:rPr>
          <w:rFonts w:ascii="Verdana" w:hAnsi="Verdana"/>
        </w:rPr>
        <w:t>Тянцзинскую</w:t>
      </w:r>
      <w:proofErr w:type="spellEnd"/>
      <w:r w:rsidRPr="005B34EF">
        <w:rPr>
          <w:rFonts w:ascii="Verdana" w:hAnsi="Verdana"/>
        </w:rPr>
        <w:t xml:space="preserve"> декларацию Совета глав государств-членов ШОС (</w:t>
      </w:r>
      <w:proofErr w:type="spellStart"/>
      <w:r w:rsidRPr="005B34EF">
        <w:rPr>
          <w:rFonts w:ascii="Verdana" w:hAnsi="Verdana"/>
        </w:rPr>
        <w:t>Тянцзинь</w:t>
      </w:r>
      <w:proofErr w:type="spellEnd"/>
      <w:r w:rsidRPr="005B34EF">
        <w:rPr>
          <w:rFonts w:ascii="Verdana" w:hAnsi="Verdana"/>
        </w:rPr>
        <w:t xml:space="preserve">, Китай, 1 сентября 2025 г.), а также в ходе Второго саммита глав государств Центральной Азии и Китая (Астана, Республика Казахстан, 17 июня 2025 г.). Расширение взаимных инвестиций соответствует приоритетам Инициативы «Пояс и путь», успешно реализуемой </w:t>
      </w:r>
      <w:r w:rsidR="00F93CCC" w:rsidRPr="005B34EF">
        <w:rPr>
          <w:rFonts w:ascii="Verdana" w:hAnsi="Verdana"/>
        </w:rPr>
        <w:t xml:space="preserve">Китаем и </w:t>
      </w:r>
      <w:r w:rsidRPr="005B34EF">
        <w:rPr>
          <w:rFonts w:ascii="Verdana" w:hAnsi="Verdana"/>
        </w:rPr>
        <w:t>страна</w:t>
      </w:r>
      <w:r w:rsidR="00F93CCC" w:rsidRPr="005B34EF">
        <w:rPr>
          <w:rFonts w:ascii="Verdana" w:hAnsi="Verdana"/>
        </w:rPr>
        <w:t>ми</w:t>
      </w:r>
      <w:r w:rsidRPr="005B34EF">
        <w:rPr>
          <w:rFonts w:ascii="Verdana" w:hAnsi="Verdana"/>
        </w:rPr>
        <w:t xml:space="preserve"> Евразийского региона</w:t>
      </w:r>
      <w:r w:rsidR="00F93CCC" w:rsidRPr="005B34EF">
        <w:rPr>
          <w:rFonts w:ascii="Verdana" w:hAnsi="Verdana"/>
        </w:rPr>
        <w:t xml:space="preserve">. </w:t>
      </w:r>
    </w:p>
    <w:p w14:paraId="353EB943" w14:textId="47111086" w:rsidR="009F0EFB" w:rsidRPr="005B34EF" w:rsidRDefault="009F0EFB" w:rsidP="00FE3EA4">
      <w:pPr>
        <w:spacing w:before="120" w:after="120" w:line="240" w:lineRule="auto"/>
        <w:jc w:val="both"/>
        <w:rPr>
          <w:rFonts w:ascii="Verdana" w:hAnsi="Verdana"/>
        </w:rPr>
      </w:pPr>
      <w:r w:rsidRPr="005B34EF">
        <w:rPr>
          <w:rFonts w:ascii="Verdana" w:hAnsi="Verdana"/>
        </w:rPr>
        <w:t>Согласно</w:t>
      </w:r>
      <w:r w:rsidR="00307CAF" w:rsidRPr="005B34EF">
        <w:rPr>
          <w:rFonts w:ascii="Verdana" w:hAnsi="Verdana"/>
        </w:rPr>
        <w:t xml:space="preserve"> </w:t>
      </w:r>
      <w:proofErr w:type="gramStart"/>
      <w:r w:rsidRPr="005B34EF">
        <w:rPr>
          <w:rFonts w:ascii="Verdana" w:hAnsi="Verdana"/>
        </w:rPr>
        <w:t>Баз</w:t>
      </w:r>
      <w:r w:rsidR="00597A5B" w:rsidRPr="005B34EF">
        <w:rPr>
          <w:rFonts w:ascii="Verdana" w:hAnsi="Verdana"/>
        </w:rPr>
        <w:t>е</w:t>
      </w:r>
      <w:proofErr w:type="gramEnd"/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данных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МВИ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ЕАБР,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объем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накопленных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взаимных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прямых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иностранных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инвестиций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(ПИИ)</w:t>
      </w:r>
      <w:r w:rsidR="00307CAF" w:rsidRPr="005B34EF">
        <w:rPr>
          <w:rFonts w:ascii="Verdana" w:hAnsi="Verdana"/>
        </w:rPr>
        <w:t xml:space="preserve"> </w:t>
      </w:r>
      <w:r w:rsidR="007D2700" w:rsidRPr="005B34EF">
        <w:rPr>
          <w:rFonts w:ascii="Verdana" w:hAnsi="Verdana"/>
        </w:rPr>
        <w:t xml:space="preserve">Китая и стран </w:t>
      </w:r>
      <w:r w:rsidRPr="005B34EF">
        <w:rPr>
          <w:rFonts w:ascii="Verdana" w:hAnsi="Verdana"/>
        </w:rPr>
        <w:t>Евразийско</w:t>
      </w:r>
      <w:r w:rsidR="007D2700" w:rsidRPr="005B34EF">
        <w:rPr>
          <w:rFonts w:ascii="Verdana" w:hAnsi="Verdana"/>
        </w:rPr>
        <w:t>го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регион</w:t>
      </w:r>
      <w:r w:rsidR="007D2700" w:rsidRPr="005B34EF">
        <w:rPr>
          <w:rFonts w:ascii="Verdana" w:hAnsi="Verdana"/>
        </w:rPr>
        <w:t>а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поступательно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рос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все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последние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годы.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Этот</w:t>
      </w:r>
      <w:r w:rsidR="00307CAF" w:rsidRPr="005B34EF">
        <w:rPr>
          <w:rFonts w:ascii="Verdana" w:hAnsi="Verdana"/>
        </w:rPr>
        <w:t xml:space="preserve"> </w:t>
      </w:r>
      <w:r w:rsidR="00202233" w:rsidRPr="005B34EF">
        <w:rPr>
          <w:rFonts w:ascii="Verdana" w:hAnsi="Verdana"/>
        </w:rPr>
        <w:t>р</w:t>
      </w:r>
      <w:r w:rsidRPr="005B34EF">
        <w:rPr>
          <w:rFonts w:ascii="Verdana" w:hAnsi="Verdana"/>
        </w:rPr>
        <w:t>ост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происходи</w:t>
      </w:r>
      <w:r w:rsidR="00202233" w:rsidRPr="005B34EF">
        <w:rPr>
          <w:rFonts w:ascii="Verdana" w:hAnsi="Verdana"/>
        </w:rPr>
        <w:t>л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на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фоне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продолжающегося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снижения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глобальной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инвестиционной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активности</w:t>
      </w:r>
      <w:r w:rsidR="00C7027C" w:rsidRPr="005B34EF">
        <w:rPr>
          <w:rFonts w:ascii="Verdana" w:hAnsi="Verdana"/>
        </w:rPr>
        <w:t>.</w:t>
      </w:r>
      <w:r w:rsidR="00307CAF" w:rsidRPr="005B34EF">
        <w:rPr>
          <w:rFonts w:ascii="Verdana" w:hAnsi="Verdana"/>
        </w:rPr>
        <w:t xml:space="preserve"> </w:t>
      </w:r>
      <w:r w:rsidR="00C7027C" w:rsidRPr="005B34EF">
        <w:rPr>
          <w:rFonts w:ascii="Verdana" w:hAnsi="Verdana"/>
        </w:rPr>
        <w:t>В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2024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г.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мировой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приток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ПИИ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(за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исключением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посреднических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операций)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сократился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на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  <w:b/>
          <w:bCs/>
        </w:rPr>
        <w:t>11%</w:t>
      </w:r>
      <w:r w:rsidR="00597A5B" w:rsidRPr="005B34EF">
        <w:rPr>
          <w:rFonts w:ascii="Verdana" w:hAnsi="Verdana"/>
          <w:b/>
          <w:bCs/>
        </w:rPr>
        <w:t>.</w:t>
      </w:r>
      <w:r w:rsidR="00307CAF" w:rsidRPr="005B34EF">
        <w:rPr>
          <w:rFonts w:ascii="Verdana" w:hAnsi="Verdana"/>
          <w:b/>
          <w:bCs/>
        </w:rPr>
        <w:t xml:space="preserve"> </w:t>
      </w:r>
      <w:r w:rsidR="00597A5B" w:rsidRPr="005B34EF">
        <w:rPr>
          <w:rFonts w:ascii="Verdana" w:hAnsi="Verdana"/>
          <w:bCs/>
        </w:rPr>
        <w:t>Снижение</w:t>
      </w:r>
      <w:r w:rsidR="00307CAF" w:rsidRPr="005B34EF">
        <w:rPr>
          <w:rFonts w:ascii="Verdana" w:hAnsi="Verdana"/>
          <w:bCs/>
        </w:rPr>
        <w:t xml:space="preserve"> </w:t>
      </w:r>
      <w:r w:rsidR="00597A5B" w:rsidRPr="005B34EF">
        <w:rPr>
          <w:rFonts w:ascii="Verdana" w:hAnsi="Verdana"/>
          <w:bCs/>
        </w:rPr>
        <w:t>продолжается</w:t>
      </w:r>
      <w:r w:rsidR="00307CAF" w:rsidRPr="005B34EF">
        <w:rPr>
          <w:rFonts w:ascii="Verdana" w:hAnsi="Verdana"/>
          <w:bCs/>
        </w:rPr>
        <w:t xml:space="preserve"> </w:t>
      </w:r>
      <w:r w:rsidRPr="005B34EF">
        <w:rPr>
          <w:rFonts w:ascii="Verdana" w:hAnsi="Verdana"/>
        </w:rPr>
        <w:t>второй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год</w:t>
      </w:r>
      <w:r w:rsidR="00307CAF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подряд.</w:t>
      </w:r>
    </w:p>
    <w:p w14:paraId="74B3C243" w14:textId="2ED8CB52" w:rsidR="007D2700" w:rsidRPr="005B34EF" w:rsidRDefault="007D2700" w:rsidP="00FE3EA4">
      <w:pPr>
        <w:spacing w:before="120" w:after="120" w:line="240" w:lineRule="auto"/>
        <w:jc w:val="both"/>
        <w:rPr>
          <w:rFonts w:ascii="Verdana" w:hAnsi="Verdana"/>
        </w:rPr>
      </w:pPr>
      <w:r w:rsidRPr="005B34EF">
        <w:rPr>
          <w:rFonts w:ascii="Verdana" w:hAnsi="Verdana"/>
        </w:rPr>
        <w:t>Общий объем накопленных взаимных ПИИ составил 67,</w:t>
      </w:r>
      <w:r w:rsidR="00543F24" w:rsidRPr="005B34EF">
        <w:rPr>
          <w:rFonts w:ascii="Verdana" w:hAnsi="Verdana"/>
        </w:rPr>
        <w:t>2</w:t>
      </w:r>
      <w:r w:rsidR="00333E74" w:rsidRPr="005B34EF">
        <w:rPr>
          <w:rFonts w:ascii="Verdana" w:hAnsi="Verdana"/>
        </w:rPr>
        <w:t xml:space="preserve"> </w:t>
      </w:r>
      <w:r w:rsidRPr="005B34EF">
        <w:rPr>
          <w:rFonts w:ascii="Verdana" w:hAnsi="Verdana"/>
        </w:rPr>
        <w:t>млрд долл., из которых 66,1 млрд долл. составили инвестиции Китая в Евразийский регион, 1,</w:t>
      </w:r>
      <w:r w:rsidR="00543F24" w:rsidRPr="005B34EF">
        <w:rPr>
          <w:rFonts w:ascii="Verdana" w:hAnsi="Verdana"/>
        </w:rPr>
        <w:t>1</w:t>
      </w:r>
      <w:r w:rsidR="00333E74" w:rsidRPr="005B34EF">
        <w:rPr>
          <w:rFonts w:ascii="Verdana" w:hAnsi="Verdana"/>
        </w:rPr>
        <w:t xml:space="preserve">2 </w:t>
      </w:r>
      <w:r w:rsidRPr="005B34EF">
        <w:rPr>
          <w:rFonts w:ascii="Verdana" w:hAnsi="Verdana"/>
        </w:rPr>
        <w:t xml:space="preserve">млрд. долл. – инвестиции стран Евразийского региона в проекты, реализуемые на территории Китая. </w:t>
      </w:r>
    </w:p>
    <w:p w14:paraId="4F12E13D" w14:textId="77777777" w:rsidR="007F1B87" w:rsidRPr="005B34EF" w:rsidRDefault="007F1B87" w:rsidP="007F1B87">
      <w:pPr>
        <w:spacing w:before="120" w:after="12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lang w:eastAsia="ru-RU"/>
        </w:rPr>
        <w:t>Доклад выделяет четыре ключевых тренда инвестиционного сотрудничества:</w:t>
      </w:r>
    </w:p>
    <w:p w14:paraId="2257C57E" w14:textId="77777777" w:rsidR="007F1B87" w:rsidRPr="005B34EF" w:rsidRDefault="007F1B87" w:rsidP="007F1B87">
      <w:pPr>
        <w:numPr>
          <w:ilvl w:val="0"/>
          <w:numId w:val="17"/>
        </w:numPr>
        <w:spacing w:before="120" w:after="120" w:line="240" w:lineRule="auto"/>
        <w:ind w:hanging="294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Смена отраслевой структуры</w:t>
      </w:r>
      <w:r w:rsidRPr="005B34EF">
        <w:rPr>
          <w:rFonts w:ascii="Verdana" w:eastAsia="Times New Roman" w:hAnsi="Verdana" w:cs="Times New Roman"/>
          <w:lang w:eastAsia="ru-RU"/>
        </w:rPr>
        <w:t xml:space="preserve"> — рост инвестиций в обрабатывающую промышленность и энергетику при снижении доли сырьевого сектора.</w:t>
      </w:r>
    </w:p>
    <w:p w14:paraId="1C402E92" w14:textId="77777777" w:rsidR="007F1B87" w:rsidRPr="005B34EF" w:rsidRDefault="007F1B87" w:rsidP="007F1B87">
      <w:pPr>
        <w:numPr>
          <w:ilvl w:val="0"/>
          <w:numId w:val="17"/>
        </w:numPr>
        <w:spacing w:before="120" w:after="120" w:line="240" w:lineRule="auto"/>
        <w:ind w:hanging="294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Узбекистан как главный центр притяжения инвестиций Китая и главный драйвер роста Центральной Азии</w:t>
      </w:r>
      <w:r w:rsidRPr="005B34EF">
        <w:rPr>
          <w:rFonts w:ascii="Verdana" w:eastAsia="Times New Roman" w:hAnsi="Verdana" w:cs="Times New Roman"/>
          <w:lang w:eastAsia="ru-RU"/>
        </w:rPr>
        <w:t>, с ростом доли в региональном портфеле с 1% до 16%.</w:t>
      </w:r>
    </w:p>
    <w:p w14:paraId="65474891" w14:textId="77777777" w:rsidR="007F1B87" w:rsidRPr="005B34EF" w:rsidRDefault="007F1B87" w:rsidP="007F1B87">
      <w:pPr>
        <w:numPr>
          <w:ilvl w:val="0"/>
          <w:numId w:val="17"/>
        </w:numPr>
        <w:spacing w:before="120" w:after="120" w:line="240" w:lineRule="auto"/>
        <w:ind w:hanging="294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Укрепление роли частного бизнеса</w:t>
      </w:r>
      <w:r w:rsidRPr="005B34EF">
        <w:rPr>
          <w:rFonts w:ascii="Verdana" w:eastAsia="Times New Roman" w:hAnsi="Verdana" w:cs="Times New Roman"/>
          <w:lang w:eastAsia="ru-RU"/>
        </w:rPr>
        <w:t xml:space="preserve"> в инвестиционном процессе.</w:t>
      </w:r>
    </w:p>
    <w:p w14:paraId="7AB7BEFC" w14:textId="77777777" w:rsidR="007F1B87" w:rsidRPr="005B34EF" w:rsidRDefault="007F1B87" w:rsidP="007F1B87">
      <w:pPr>
        <w:numPr>
          <w:ilvl w:val="0"/>
          <w:numId w:val="17"/>
        </w:numPr>
        <w:spacing w:before="120" w:after="120" w:line="240" w:lineRule="auto"/>
        <w:ind w:hanging="294"/>
        <w:jc w:val="both"/>
        <w:rPr>
          <w:rFonts w:ascii="Verdana" w:eastAsia="Times New Roman" w:hAnsi="Verdana" w:cs="Times New Roman"/>
          <w:lang w:eastAsia="ru-RU"/>
        </w:rPr>
      </w:pPr>
      <w:r w:rsidRPr="005B34EF">
        <w:rPr>
          <w:rFonts w:ascii="Verdana" w:eastAsia="Times New Roman" w:hAnsi="Verdana" w:cs="Times New Roman"/>
          <w:b/>
          <w:bCs/>
          <w:lang w:eastAsia="ru-RU"/>
        </w:rPr>
        <w:t>Рост доли greenfield-проектов</w:t>
      </w:r>
      <w:r w:rsidRPr="005B34EF">
        <w:rPr>
          <w:rFonts w:ascii="Verdana" w:eastAsia="Times New Roman" w:hAnsi="Verdana" w:cs="Times New Roman"/>
          <w:lang w:eastAsia="ru-RU"/>
        </w:rPr>
        <w:t>, формирующих основу новой промышленной и энергетической инфраструктуры региона.</w:t>
      </w:r>
    </w:p>
    <w:p w14:paraId="582C5B76" w14:textId="77777777" w:rsidR="003D1D6D" w:rsidRPr="005B34EF" w:rsidRDefault="003D1D6D" w:rsidP="007F1B87">
      <w:pPr>
        <w:spacing w:after="0" w:line="240" w:lineRule="auto"/>
        <w:jc w:val="both"/>
        <w:rPr>
          <w:rFonts w:ascii="Verdana" w:hAnsi="Verdana"/>
          <w:b/>
        </w:rPr>
      </w:pPr>
    </w:p>
    <w:p w14:paraId="27AE0A07" w14:textId="7D915652" w:rsidR="00805916" w:rsidRPr="005B34EF" w:rsidRDefault="00B83A46" w:rsidP="007F1B87">
      <w:pPr>
        <w:spacing w:after="0" w:line="240" w:lineRule="auto"/>
        <w:jc w:val="both"/>
        <w:rPr>
          <w:rFonts w:ascii="Verdana" w:hAnsi="Verdana"/>
          <w:b/>
        </w:rPr>
      </w:pPr>
      <w:r w:rsidRPr="005B34EF">
        <w:rPr>
          <w:rFonts w:ascii="Verdana" w:hAnsi="Verdana"/>
          <w:b/>
        </w:rPr>
        <w:t>Потоки</w:t>
      </w:r>
      <w:r w:rsidR="00307CAF" w:rsidRPr="005B34EF">
        <w:rPr>
          <w:rFonts w:ascii="Verdana" w:hAnsi="Verdana"/>
          <w:b/>
        </w:rPr>
        <w:t xml:space="preserve"> </w:t>
      </w:r>
      <w:r w:rsidR="00805916" w:rsidRPr="005B34EF">
        <w:rPr>
          <w:rFonts w:ascii="Verdana" w:hAnsi="Verdana"/>
          <w:b/>
        </w:rPr>
        <w:t>накопленных</w:t>
      </w:r>
      <w:r w:rsidR="00307CAF" w:rsidRPr="005B34EF">
        <w:rPr>
          <w:rFonts w:ascii="Verdana" w:hAnsi="Verdana"/>
          <w:b/>
        </w:rPr>
        <w:t xml:space="preserve"> </w:t>
      </w:r>
      <w:r w:rsidR="00805916" w:rsidRPr="005B34EF">
        <w:rPr>
          <w:rFonts w:ascii="Verdana" w:hAnsi="Verdana"/>
          <w:b/>
        </w:rPr>
        <w:t>взаимных</w:t>
      </w:r>
      <w:r w:rsidR="00307CAF" w:rsidRPr="005B34EF">
        <w:rPr>
          <w:rFonts w:ascii="Verdana" w:hAnsi="Verdana"/>
          <w:b/>
        </w:rPr>
        <w:t xml:space="preserve"> </w:t>
      </w:r>
      <w:r w:rsidR="00805916" w:rsidRPr="005B34EF">
        <w:rPr>
          <w:rFonts w:ascii="Verdana" w:hAnsi="Verdana"/>
          <w:b/>
        </w:rPr>
        <w:t>инвестиций</w:t>
      </w:r>
      <w:r w:rsidR="00307CAF" w:rsidRPr="005B34EF">
        <w:rPr>
          <w:rFonts w:ascii="Verdana" w:hAnsi="Verdana"/>
          <w:b/>
        </w:rPr>
        <w:t xml:space="preserve"> </w:t>
      </w:r>
      <w:r w:rsidRPr="005B34EF">
        <w:rPr>
          <w:rFonts w:ascii="Verdana" w:hAnsi="Verdana"/>
          <w:b/>
        </w:rPr>
        <w:t>между Китаем и</w:t>
      </w:r>
      <w:r w:rsidR="00307CAF" w:rsidRPr="005B34EF">
        <w:rPr>
          <w:rFonts w:ascii="Verdana" w:hAnsi="Verdana"/>
          <w:b/>
        </w:rPr>
        <w:t xml:space="preserve"> </w:t>
      </w:r>
      <w:r w:rsidR="00805916" w:rsidRPr="005B34EF">
        <w:rPr>
          <w:rFonts w:ascii="Verdana" w:hAnsi="Verdana"/>
          <w:b/>
        </w:rPr>
        <w:t>страна</w:t>
      </w:r>
      <w:r w:rsidRPr="005B34EF">
        <w:rPr>
          <w:rFonts w:ascii="Verdana" w:hAnsi="Verdana"/>
          <w:b/>
        </w:rPr>
        <w:t>ми</w:t>
      </w:r>
      <w:r w:rsidR="00307CAF" w:rsidRPr="005B34EF">
        <w:rPr>
          <w:rFonts w:ascii="Verdana" w:hAnsi="Verdana"/>
          <w:b/>
        </w:rPr>
        <w:t xml:space="preserve"> </w:t>
      </w:r>
      <w:r w:rsidR="00805916" w:rsidRPr="005B34EF">
        <w:rPr>
          <w:rFonts w:ascii="Verdana" w:hAnsi="Verdana"/>
          <w:b/>
        </w:rPr>
        <w:t>Евразийского</w:t>
      </w:r>
      <w:r w:rsidR="00307CAF" w:rsidRPr="005B34EF">
        <w:rPr>
          <w:rFonts w:ascii="Verdana" w:hAnsi="Verdana"/>
          <w:b/>
        </w:rPr>
        <w:t xml:space="preserve"> </w:t>
      </w:r>
      <w:r w:rsidR="00C3264A" w:rsidRPr="005B34EF">
        <w:rPr>
          <w:rFonts w:ascii="Verdana" w:hAnsi="Verdana"/>
          <w:b/>
        </w:rPr>
        <w:t>региона,</w:t>
      </w:r>
      <w:r w:rsidR="00307CAF" w:rsidRPr="005B34EF">
        <w:rPr>
          <w:rFonts w:ascii="Verdana" w:hAnsi="Verdana"/>
          <w:b/>
        </w:rPr>
        <w:t xml:space="preserve"> </w:t>
      </w:r>
      <w:r w:rsidR="00C85916" w:rsidRPr="005B34EF">
        <w:rPr>
          <w:rFonts w:ascii="Verdana" w:hAnsi="Verdana"/>
          <w:b/>
        </w:rPr>
        <w:t>$</w:t>
      </w:r>
      <w:r w:rsidR="00D31045">
        <w:rPr>
          <w:rFonts w:ascii="Verdana" w:hAnsi="Verdana"/>
          <w:b/>
        </w:rPr>
        <w:t>млрд</w:t>
      </w:r>
      <w:r w:rsidR="00805916" w:rsidRPr="005B34EF">
        <w:rPr>
          <w:rFonts w:ascii="Verdana" w:hAnsi="Verdana"/>
          <w:b/>
        </w:rPr>
        <w:t>.</w:t>
      </w:r>
    </w:p>
    <w:p w14:paraId="5AC38037" w14:textId="79FBF647" w:rsidR="00805916" w:rsidRPr="005B34EF" w:rsidRDefault="00B83A46" w:rsidP="007F1B87">
      <w:pPr>
        <w:spacing w:after="0" w:line="240" w:lineRule="auto"/>
        <w:jc w:val="center"/>
        <w:rPr>
          <w:rFonts w:ascii="Verdana" w:hAnsi="Verdana"/>
          <w:b/>
        </w:rPr>
      </w:pPr>
      <w:r w:rsidRPr="005B34EF">
        <w:rPr>
          <w:rFonts w:ascii="Verdana" w:hAnsi="Verdana"/>
          <w:b/>
          <w:noProof/>
          <w:lang w:eastAsia="ru-RU"/>
        </w:rPr>
        <w:lastRenderedPageBreak/>
        <w:drawing>
          <wp:inline distT="0" distB="0" distL="0" distR="0" wp14:anchorId="5223FFAC" wp14:editId="6E179199">
            <wp:extent cx="5215781" cy="40195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B_MVI-25-15_Graph_2025-12-12_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083" cy="402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975F" w14:textId="44609D6A" w:rsidR="00805916" w:rsidRPr="005B34EF" w:rsidRDefault="00805916" w:rsidP="00FE3EA4">
      <w:pPr>
        <w:pStyle w:val="a3"/>
        <w:tabs>
          <w:tab w:val="left" w:pos="2289"/>
        </w:tabs>
        <w:spacing w:after="0" w:line="240" w:lineRule="auto"/>
        <w:ind w:left="0"/>
        <w:jc w:val="both"/>
        <w:rPr>
          <w:rFonts w:ascii="Verdana" w:hAnsi="Verdana"/>
          <w:sz w:val="18"/>
        </w:rPr>
      </w:pPr>
      <w:r w:rsidRPr="005B34EF">
        <w:rPr>
          <w:rFonts w:ascii="Verdana" w:hAnsi="Verdana"/>
          <w:sz w:val="18"/>
        </w:rPr>
        <w:t>Источник:</w:t>
      </w:r>
      <w:r w:rsidR="00307CAF" w:rsidRPr="005B34EF">
        <w:rPr>
          <w:rFonts w:ascii="Verdana" w:hAnsi="Verdana"/>
          <w:sz w:val="18"/>
        </w:rPr>
        <w:t xml:space="preserve"> </w:t>
      </w:r>
      <w:r w:rsidRPr="005B34EF">
        <w:rPr>
          <w:rFonts w:ascii="Verdana" w:hAnsi="Verdana"/>
          <w:sz w:val="18"/>
        </w:rPr>
        <w:t>база</w:t>
      </w:r>
      <w:r w:rsidR="00307CAF" w:rsidRPr="005B34EF">
        <w:rPr>
          <w:rFonts w:ascii="Verdana" w:hAnsi="Verdana"/>
          <w:sz w:val="18"/>
        </w:rPr>
        <w:t xml:space="preserve"> </w:t>
      </w:r>
      <w:r w:rsidRPr="005B34EF">
        <w:rPr>
          <w:rFonts w:ascii="Verdana" w:hAnsi="Verdana"/>
          <w:sz w:val="18"/>
        </w:rPr>
        <w:t>данных</w:t>
      </w:r>
      <w:r w:rsidR="00307CAF" w:rsidRPr="005B34EF">
        <w:rPr>
          <w:rFonts w:ascii="Verdana" w:hAnsi="Verdana"/>
          <w:sz w:val="18"/>
        </w:rPr>
        <w:t xml:space="preserve"> </w:t>
      </w:r>
      <w:r w:rsidRPr="005B34EF">
        <w:rPr>
          <w:rFonts w:ascii="Verdana" w:hAnsi="Verdana"/>
          <w:sz w:val="18"/>
        </w:rPr>
        <w:t>МВИ</w:t>
      </w:r>
      <w:r w:rsidR="00307CAF" w:rsidRPr="005B34EF">
        <w:rPr>
          <w:rFonts w:ascii="Verdana" w:hAnsi="Verdana"/>
          <w:sz w:val="18"/>
        </w:rPr>
        <w:t xml:space="preserve"> </w:t>
      </w:r>
      <w:r w:rsidRPr="005B34EF">
        <w:rPr>
          <w:rFonts w:ascii="Verdana" w:hAnsi="Verdana"/>
          <w:sz w:val="18"/>
        </w:rPr>
        <w:t>ЕАБР</w:t>
      </w:r>
      <w:r w:rsidRPr="005B34EF">
        <w:rPr>
          <w:rFonts w:ascii="Verdana" w:hAnsi="Verdana"/>
          <w:sz w:val="18"/>
        </w:rPr>
        <w:tab/>
      </w:r>
    </w:p>
    <w:p w14:paraId="64A7B029" w14:textId="14F9AFDC" w:rsidR="0011656C" w:rsidRPr="005B34EF" w:rsidRDefault="0011656C" w:rsidP="00FE3EA4">
      <w:pPr>
        <w:pStyle w:val="a3"/>
        <w:tabs>
          <w:tab w:val="left" w:pos="2289"/>
        </w:tabs>
        <w:spacing w:after="0" w:line="240" w:lineRule="auto"/>
        <w:ind w:left="0"/>
        <w:jc w:val="both"/>
        <w:rPr>
          <w:rFonts w:ascii="Verdana" w:hAnsi="Verdana"/>
          <w:sz w:val="18"/>
        </w:rPr>
      </w:pPr>
    </w:p>
    <w:p w14:paraId="3B02D778" w14:textId="586F0515" w:rsidR="0011656C" w:rsidRPr="00804DFB" w:rsidRDefault="0011656C" w:rsidP="0011656C">
      <w:pPr>
        <w:pStyle w:val="AZA-Text"/>
        <w:spacing w:before="120" w:after="120"/>
        <w:rPr>
          <w:i/>
        </w:rPr>
      </w:pPr>
      <w:r w:rsidRPr="005B34EF">
        <w:rPr>
          <w:i/>
        </w:rPr>
        <w:t xml:space="preserve">«…Китай занял позиции </w:t>
      </w:r>
      <w:r w:rsidR="0000398B" w:rsidRPr="005B34EF">
        <w:rPr>
          <w:i/>
        </w:rPr>
        <w:t xml:space="preserve">ключевого </w:t>
      </w:r>
      <w:r w:rsidRPr="005B34EF">
        <w:rPr>
          <w:i/>
        </w:rPr>
        <w:t xml:space="preserve">инвестиционного партнера стран Евразийского региона. </w:t>
      </w:r>
      <w:r w:rsidR="00F10592" w:rsidRPr="00804DFB">
        <w:rPr>
          <w:i/>
        </w:rPr>
        <w:t xml:space="preserve"> </w:t>
      </w:r>
      <w:r w:rsidR="00F10592" w:rsidRPr="00F10592">
        <w:rPr>
          <w:i/>
        </w:rPr>
        <w:t>В последние годы приоритеты компаний из Китая смещается в сторону создания новых производств в промышленности и энергетике. При этом большинство новых проектов – это инвестиции частного бизнеса. Это свидетельствует о технологической зрелости китайских инвесторов.</w:t>
      </w:r>
      <w:r w:rsidR="00F10592" w:rsidRPr="00804DFB">
        <w:rPr>
          <w:i/>
        </w:rPr>
        <w:t xml:space="preserve"> </w:t>
      </w:r>
      <w:r w:rsidRPr="005B34EF">
        <w:rPr>
          <w:i/>
        </w:rPr>
        <w:t xml:space="preserve">Но это также и свидетельство существенного улучшения инвестиционного климата в Центральной Азии» </w:t>
      </w:r>
      <w:r w:rsidRPr="005B34EF">
        <w:t xml:space="preserve">– </w:t>
      </w:r>
      <w:r w:rsidRPr="005B34EF">
        <w:rPr>
          <w:b/>
        </w:rPr>
        <w:t>прокомментировал Евгений Винокуров – главный экономист ЕАБР.</w:t>
      </w:r>
    </w:p>
    <w:p w14:paraId="627E4E29" w14:textId="73E03804" w:rsidR="00B019ED" w:rsidRPr="005B34EF" w:rsidRDefault="00B019ED" w:rsidP="00B019ED">
      <w:pPr>
        <w:pStyle w:val="AZA-Text"/>
        <w:spacing w:before="120" w:after="120"/>
      </w:pPr>
      <w:r w:rsidRPr="005B34EF">
        <w:rPr>
          <w:b/>
          <w:bCs/>
        </w:rPr>
        <w:t>Объем накопленных ПИИ Китая в Центральной Азии</w:t>
      </w:r>
      <w:r w:rsidRPr="005B34EF">
        <w:t xml:space="preserve"> вырос </w:t>
      </w:r>
      <w:r w:rsidR="0012771A" w:rsidRPr="005B34EF">
        <w:t xml:space="preserve">за 10 лет </w:t>
      </w:r>
      <w:r w:rsidRPr="005B34EF">
        <w:t xml:space="preserve">до 35,9 млрд долл. </w:t>
      </w:r>
      <w:r w:rsidR="0012771A" w:rsidRPr="005B34EF">
        <w:t xml:space="preserve">Почти </w:t>
      </w:r>
      <w:r w:rsidRPr="005B34EF">
        <w:t xml:space="preserve">90% вложений </w:t>
      </w:r>
      <w:r w:rsidR="0012771A" w:rsidRPr="005B34EF">
        <w:t xml:space="preserve">приходится на </w:t>
      </w:r>
      <w:r w:rsidRPr="005B34EF">
        <w:t>Казахстан (32%), Узбекистан (30%) и Туркменистан (27%).</w:t>
      </w:r>
      <w:r w:rsidR="0012771A" w:rsidRPr="005B34EF">
        <w:t xml:space="preserve"> П</w:t>
      </w:r>
      <w:r w:rsidRPr="005B34EF">
        <w:t>ока инвестиции накоплены в основном в сырьевом секторе (46%). Но растет доля обрабатывающей промышленности и энергетики, на которые уже приходится более трети китайских инвестиций в Центральной Азии.</w:t>
      </w:r>
      <w:r w:rsidR="0012771A" w:rsidRPr="005B34EF">
        <w:t xml:space="preserve"> </w:t>
      </w:r>
      <w:r w:rsidRPr="005B34EF">
        <w:rPr>
          <w:b/>
          <w:bCs/>
        </w:rPr>
        <w:t>Казахстан остается крупнейшим получателем</w:t>
      </w:r>
      <w:r w:rsidRPr="005B34EF">
        <w:t xml:space="preserve"> китайских ПИИ (11,4 млрд долл.), </w:t>
      </w:r>
      <w:r w:rsidR="0012771A" w:rsidRPr="005B34EF">
        <w:t xml:space="preserve">но </w:t>
      </w:r>
      <w:r w:rsidRPr="005B34EF">
        <w:rPr>
          <w:b/>
          <w:bCs/>
        </w:rPr>
        <w:t>Узбекистан</w:t>
      </w:r>
      <w:r w:rsidR="0012771A" w:rsidRPr="005B34EF">
        <w:rPr>
          <w:b/>
          <w:bCs/>
        </w:rPr>
        <w:t xml:space="preserve"> </w:t>
      </w:r>
      <w:r w:rsidR="00F10592" w:rsidRPr="00804DFB">
        <w:rPr>
          <w:b/>
          <w:bCs/>
        </w:rPr>
        <w:t xml:space="preserve">показывает быструю динамику и нарастил ПИИ </w:t>
      </w:r>
      <w:r w:rsidRPr="005B34EF">
        <w:t xml:space="preserve">до 10,7 млрд долл. </w:t>
      </w:r>
      <w:r w:rsidR="0012771A" w:rsidRPr="005B34EF">
        <w:t>на</w:t>
      </w:r>
      <w:r w:rsidRPr="005B34EF">
        <w:t xml:space="preserve"> середин</w:t>
      </w:r>
      <w:r w:rsidR="0012771A" w:rsidRPr="005B34EF">
        <w:t>у</w:t>
      </w:r>
      <w:r w:rsidRPr="005B34EF">
        <w:t xml:space="preserve"> 2025 г.</w:t>
      </w:r>
    </w:p>
    <w:p w14:paraId="0B113020" w14:textId="0899CE2E" w:rsidR="00B019ED" w:rsidRPr="005B34EF" w:rsidRDefault="00B019ED" w:rsidP="00B019ED">
      <w:pPr>
        <w:pStyle w:val="AZA-Text"/>
        <w:spacing w:before="120" w:after="120"/>
      </w:pPr>
      <w:r w:rsidRPr="005B34EF">
        <w:rPr>
          <w:b/>
          <w:bCs/>
        </w:rPr>
        <w:t>Объем накопленных ПИИ Китая в страны Южного Кавказа</w:t>
      </w:r>
      <w:r w:rsidRPr="005B34EF">
        <w:t xml:space="preserve"> за последние 10 лет вырос в 2,5 раза — с 0,28 до 0,69 млрд долл.</w:t>
      </w:r>
      <w:r w:rsidR="0012771A" w:rsidRPr="005B34EF">
        <w:t xml:space="preserve"> </w:t>
      </w:r>
      <w:r w:rsidRPr="005B34EF">
        <w:t>Инвестиционный портфель распределен между Азербайджаном (</w:t>
      </w:r>
      <w:r w:rsidR="0000398B" w:rsidRPr="005B34EF">
        <w:t xml:space="preserve">около </w:t>
      </w:r>
      <w:r w:rsidRPr="005B34EF">
        <w:t>60%) и Грузией (</w:t>
      </w:r>
      <w:r w:rsidR="0000398B" w:rsidRPr="005B34EF">
        <w:t xml:space="preserve">около </w:t>
      </w:r>
      <w:r w:rsidRPr="005B34EF">
        <w:t>40%), приоритетные направления - обрабатывающая промышленность и энергетика.</w:t>
      </w:r>
    </w:p>
    <w:p w14:paraId="3BBE391B" w14:textId="542CD8EE" w:rsidR="00B019ED" w:rsidRPr="005B34EF" w:rsidRDefault="00B019ED" w:rsidP="00B019ED">
      <w:pPr>
        <w:pStyle w:val="AZA-Text"/>
        <w:spacing w:before="120" w:after="120"/>
        <w:rPr>
          <w:b/>
        </w:rPr>
      </w:pPr>
      <w:r w:rsidRPr="005B34EF">
        <w:rPr>
          <w:b/>
          <w:bCs/>
        </w:rPr>
        <w:t>Совокупный портфель накопленных ПИИ Китая в стран</w:t>
      </w:r>
      <w:r w:rsidR="0012771A" w:rsidRPr="005B34EF">
        <w:rPr>
          <w:b/>
          <w:bCs/>
        </w:rPr>
        <w:t>ах</w:t>
      </w:r>
      <w:r w:rsidRPr="005B34EF">
        <w:rPr>
          <w:b/>
          <w:bCs/>
        </w:rPr>
        <w:t xml:space="preserve"> ЕАЭС </w:t>
      </w:r>
      <w:r w:rsidRPr="005B34EF">
        <w:rPr>
          <w:bCs/>
        </w:rPr>
        <w:t xml:space="preserve">оценивается в 31,5 млрд долл. и включает 160 проектов. За последние 10 лет объем китайских инвестиций в странах ЕАЭС вырос в 1,5 раза. На Россию и Казахстан приходится 91% всех вложений. Сырьевой сектор остается ключевым - 14,7 млрд долл. (47% портфеля), однако </w:t>
      </w:r>
      <w:r w:rsidR="0012771A" w:rsidRPr="005B34EF">
        <w:rPr>
          <w:bCs/>
        </w:rPr>
        <w:t xml:space="preserve">ускоренно </w:t>
      </w:r>
      <w:r w:rsidRPr="005B34EF">
        <w:rPr>
          <w:bCs/>
        </w:rPr>
        <w:t>раст</w:t>
      </w:r>
      <w:r w:rsidR="0012771A" w:rsidRPr="005B34EF">
        <w:rPr>
          <w:bCs/>
        </w:rPr>
        <w:t>у</w:t>
      </w:r>
      <w:r w:rsidRPr="005B34EF">
        <w:rPr>
          <w:bCs/>
        </w:rPr>
        <w:t xml:space="preserve">т </w:t>
      </w:r>
      <w:r w:rsidR="0012771A" w:rsidRPr="005B34EF">
        <w:rPr>
          <w:bCs/>
        </w:rPr>
        <w:t>инвестиции в</w:t>
      </w:r>
      <w:r w:rsidRPr="005B34EF">
        <w:rPr>
          <w:bCs/>
        </w:rPr>
        <w:t xml:space="preserve"> </w:t>
      </w:r>
      <w:r w:rsidRPr="005B34EF">
        <w:rPr>
          <w:bCs/>
        </w:rPr>
        <w:lastRenderedPageBreak/>
        <w:t>обрабатывающ</w:t>
      </w:r>
      <w:r w:rsidR="0012771A" w:rsidRPr="005B34EF">
        <w:rPr>
          <w:bCs/>
        </w:rPr>
        <w:t>ую</w:t>
      </w:r>
      <w:r w:rsidRPr="005B34EF">
        <w:rPr>
          <w:bCs/>
        </w:rPr>
        <w:t xml:space="preserve"> промышленност</w:t>
      </w:r>
      <w:r w:rsidR="0012771A" w:rsidRPr="005B34EF">
        <w:rPr>
          <w:bCs/>
        </w:rPr>
        <w:t>ь (</w:t>
      </w:r>
      <w:r w:rsidRPr="005B34EF">
        <w:rPr>
          <w:bCs/>
        </w:rPr>
        <w:t>9,8 млрд долл.</w:t>
      </w:r>
      <w:r w:rsidR="0012771A" w:rsidRPr="005B34EF">
        <w:rPr>
          <w:bCs/>
        </w:rPr>
        <w:t xml:space="preserve"> или </w:t>
      </w:r>
      <w:r w:rsidRPr="005B34EF">
        <w:rPr>
          <w:bCs/>
        </w:rPr>
        <w:t>31%</w:t>
      </w:r>
      <w:r w:rsidR="0012771A" w:rsidRPr="005B34EF">
        <w:rPr>
          <w:bCs/>
        </w:rPr>
        <w:t xml:space="preserve"> на середину 2025 г.)</w:t>
      </w:r>
      <w:r w:rsidRPr="005B34EF">
        <w:rPr>
          <w:bCs/>
        </w:rPr>
        <w:t>.</w:t>
      </w:r>
    </w:p>
    <w:p w14:paraId="0BA18825" w14:textId="0FA72EEC" w:rsidR="00B019ED" w:rsidRPr="005B34EF" w:rsidRDefault="00B019ED" w:rsidP="00B019ED">
      <w:pPr>
        <w:pStyle w:val="AZA-Text"/>
        <w:spacing w:before="120" w:after="120"/>
      </w:pPr>
      <w:r w:rsidRPr="005B34EF">
        <w:rPr>
          <w:b/>
          <w:bCs/>
        </w:rPr>
        <w:t>Россия - крупнейший получатель ПИИ из Китая</w:t>
      </w:r>
      <w:r w:rsidRPr="005B34EF">
        <w:t xml:space="preserve">: по состоянию на 1 п/г 2025 г. объем накопленных инвестиций достиг 17,5 млрд долл. (55% </w:t>
      </w:r>
      <w:r w:rsidR="0012771A" w:rsidRPr="005B34EF">
        <w:t>от общего объема инвестиций Китая в ЕАЭС</w:t>
      </w:r>
      <w:r w:rsidRPr="005B34EF">
        <w:t xml:space="preserve">). Крупнейшим проектом является участие </w:t>
      </w:r>
      <w:r w:rsidRPr="005B34EF">
        <w:rPr>
          <w:rStyle w:val="a8"/>
        </w:rPr>
        <w:t>Sinopec</w:t>
      </w:r>
      <w:r w:rsidRPr="005B34EF">
        <w:t xml:space="preserve"> в Амурском газохимическом комплексе. Компания владеет 40% проекта. К середине 2025 г. накопленные вложения достигли 3,2 млрд долл.</w:t>
      </w:r>
    </w:p>
    <w:p w14:paraId="00CD5C38" w14:textId="2BF46F1B" w:rsidR="00B019ED" w:rsidRPr="005B34EF" w:rsidRDefault="0012771A" w:rsidP="00B019ED">
      <w:pPr>
        <w:pStyle w:val="AZA-Text"/>
        <w:spacing w:before="120" w:after="120"/>
      </w:pPr>
      <w:r w:rsidRPr="005B34EF">
        <w:rPr>
          <w:b/>
          <w:bCs/>
        </w:rPr>
        <w:t>Накопленные и</w:t>
      </w:r>
      <w:r w:rsidR="00B019ED" w:rsidRPr="005B34EF">
        <w:rPr>
          <w:b/>
          <w:bCs/>
        </w:rPr>
        <w:t xml:space="preserve">нвестиции Китая в Монголию </w:t>
      </w:r>
      <w:r w:rsidRPr="005B34EF">
        <w:rPr>
          <w:b/>
          <w:bCs/>
        </w:rPr>
        <w:t xml:space="preserve">достигли очень </w:t>
      </w:r>
      <w:r w:rsidR="00B019ED" w:rsidRPr="005B34EF">
        <w:rPr>
          <w:b/>
          <w:bCs/>
        </w:rPr>
        <w:t>высок</w:t>
      </w:r>
      <w:r w:rsidRPr="005B34EF">
        <w:rPr>
          <w:b/>
          <w:bCs/>
        </w:rPr>
        <w:t xml:space="preserve">ого уровня </w:t>
      </w:r>
      <w:r w:rsidRPr="00583E1E">
        <w:rPr>
          <w:bCs/>
        </w:rPr>
        <w:t>(</w:t>
      </w:r>
      <w:r w:rsidR="00B019ED" w:rsidRPr="005B34EF">
        <w:t>10,3 млрд долл. к середине 2025 г.</w:t>
      </w:r>
      <w:r w:rsidRPr="005B34EF">
        <w:t>)</w:t>
      </w:r>
      <w:r w:rsidR="00B019ED" w:rsidRPr="005B34EF">
        <w:t xml:space="preserve">, </w:t>
      </w:r>
      <w:r w:rsidR="00B019ED" w:rsidRPr="005B34EF">
        <w:rPr>
          <w:b/>
          <w:bCs/>
        </w:rPr>
        <w:t>Структура портфеля концентрир</w:t>
      </w:r>
      <w:r w:rsidRPr="005B34EF">
        <w:rPr>
          <w:b/>
          <w:bCs/>
        </w:rPr>
        <w:t xml:space="preserve">уется </w:t>
      </w:r>
      <w:r w:rsidR="00B019ED" w:rsidRPr="005B34EF">
        <w:t>в добывающ</w:t>
      </w:r>
      <w:r w:rsidRPr="005B34EF">
        <w:t>ем</w:t>
      </w:r>
      <w:r w:rsidR="00B019ED" w:rsidRPr="005B34EF">
        <w:t xml:space="preserve"> сектор</w:t>
      </w:r>
      <w:r w:rsidRPr="005B34EF">
        <w:t>е</w:t>
      </w:r>
      <w:r w:rsidR="00B019ED" w:rsidRPr="005B34EF">
        <w:t>, преимущественно в проект</w:t>
      </w:r>
      <w:r w:rsidRPr="005B34EF">
        <w:t>ах</w:t>
      </w:r>
      <w:r w:rsidR="00B019ED" w:rsidRPr="005B34EF">
        <w:t xml:space="preserve"> по разработке </w:t>
      </w:r>
      <w:r w:rsidRPr="005B34EF">
        <w:t xml:space="preserve">месторождений </w:t>
      </w:r>
      <w:r w:rsidR="00B019ED" w:rsidRPr="005B34EF">
        <w:t xml:space="preserve">железной руды и нефти. </w:t>
      </w:r>
    </w:p>
    <w:p w14:paraId="443E255B" w14:textId="7B4EC3FB" w:rsidR="00B019ED" w:rsidRPr="005B34EF" w:rsidRDefault="00B019ED" w:rsidP="00B019ED">
      <w:pPr>
        <w:pStyle w:val="AZA-Text"/>
        <w:spacing w:before="120" w:after="120"/>
      </w:pPr>
      <w:r w:rsidRPr="005B34EF">
        <w:t xml:space="preserve">Четыре сектора </w:t>
      </w:r>
      <w:r w:rsidR="0012771A" w:rsidRPr="005B34EF">
        <w:t xml:space="preserve">сохраняют высокую </w:t>
      </w:r>
      <w:r w:rsidRPr="005B34EF">
        <w:t>привлекательн</w:t>
      </w:r>
      <w:r w:rsidR="0012771A" w:rsidRPr="005B34EF">
        <w:t>ость</w:t>
      </w:r>
      <w:r w:rsidRPr="005B34EF">
        <w:t xml:space="preserve"> для китайских инвесторов в Евразийском регионе: обрабатывающая промышленность, энергетика (включая ВИЭ), транспорт и логистика, а также агропромышленный комплекс. Это обусловлено сочетанием структурных сдвигов в странах Евразийского региона и стратегическими приоритетами Китая по обеспечению лидерства в высокотехнологичных отраслях, диверсификации цепочек добавленной стоимости, развитию зеленой энергетики, низкоуглеродного транспорта и обеспечения продовольственной безопасности</w:t>
      </w:r>
      <w:r w:rsidR="0012771A" w:rsidRPr="005B34EF">
        <w:t>.</w:t>
      </w:r>
    </w:p>
    <w:p w14:paraId="4B1CA9CB" w14:textId="77777777" w:rsidR="00B019ED" w:rsidRPr="005B34EF" w:rsidRDefault="00B019ED" w:rsidP="00B019ED">
      <w:pPr>
        <w:pStyle w:val="AZA-Text"/>
        <w:spacing w:before="120" w:after="120"/>
      </w:pPr>
      <w:bookmarkStart w:id="0" w:name="_GoBack"/>
      <w:bookmarkEnd w:id="0"/>
    </w:p>
    <w:p w14:paraId="0E7E0305" w14:textId="292B6FC7" w:rsidR="00805916" w:rsidRPr="005B34EF" w:rsidRDefault="00805916" w:rsidP="00FE3EA4">
      <w:pPr>
        <w:pStyle w:val="AZA-Text"/>
        <w:rPr>
          <w:lang w:eastAsia="ru-RU"/>
        </w:rPr>
      </w:pPr>
      <w:r w:rsidRPr="005B34EF">
        <w:t>Подробнее</w:t>
      </w:r>
      <w:r w:rsidR="00307CAF" w:rsidRPr="005B34EF">
        <w:t xml:space="preserve"> </w:t>
      </w:r>
      <w:r w:rsidRPr="005B34EF">
        <w:t>с</w:t>
      </w:r>
      <w:r w:rsidR="00307CAF" w:rsidRPr="005B34EF">
        <w:t xml:space="preserve"> </w:t>
      </w:r>
      <w:r w:rsidRPr="005B34EF">
        <w:t>докладом</w:t>
      </w:r>
      <w:r w:rsidR="00307CAF" w:rsidRPr="005B34EF">
        <w:t xml:space="preserve"> </w:t>
      </w:r>
      <w:r w:rsidRPr="005B34EF">
        <w:t>и</w:t>
      </w:r>
      <w:r w:rsidR="00307CAF" w:rsidRPr="005B34EF">
        <w:t xml:space="preserve"> </w:t>
      </w:r>
      <w:r w:rsidRPr="005B34EF">
        <w:t>материалами</w:t>
      </w:r>
      <w:r w:rsidR="00307CAF" w:rsidRPr="005B34EF">
        <w:t xml:space="preserve"> </w:t>
      </w:r>
      <w:r w:rsidRPr="005B34EF">
        <w:t>исследования</w:t>
      </w:r>
      <w:r w:rsidR="00307CAF" w:rsidRPr="005B34EF">
        <w:t xml:space="preserve"> </w:t>
      </w:r>
      <w:r w:rsidRPr="005B34EF">
        <w:t>можно</w:t>
      </w:r>
      <w:r w:rsidR="00307CAF" w:rsidRPr="005B34EF">
        <w:t xml:space="preserve"> </w:t>
      </w:r>
      <w:r w:rsidRPr="005B34EF">
        <w:t>ознакомиться</w:t>
      </w:r>
      <w:r w:rsidR="00307CAF" w:rsidRPr="005B34EF">
        <w:t xml:space="preserve"> </w:t>
      </w:r>
      <w:r w:rsidRPr="005B34EF">
        <w:rPr>
          <w:b/>
          <w:color w:val="FF0000"/>
        </w:rPr>
        <w:t>на</w:t>
      </w:r>
      <w:r w:rsidR="00307CAF" w:rsidRPr="005B34EF">
        <w:rPr>
          <w:b/>
          <w:color w:val="FF0000"/>
        </w:rPr>
        <w:t xml:space="preserve"> </w:t>
      </w:r>
      <w:r w:rsidRPr="005B34EF">
        <w:rPr>
          <w:b/>
          <w:color w:val="FF0000"/>
        </w:rPr>
        <w:t>сайте</w:t>
      </w:r>
      <w:r w:rsidR="00307CAF" w:rsidRPr="005B34EF">
        <w:rPr>
          <w:b/>
          <w:color w:val="FF0000"/>
        </w:rPr>
        <w:t xml:space="preserve"> </w:t>
      </w:r>
      <w:r w:rsidRPr="005B34EF">
        <w:rPr>
          <w:b/>
          <w:color w:val="FF0000"/>
        </w:rPr>
        <w:t>Банка</w:t>
      </w:r>
      <w:r w:rsidRPr="005B34EF">
        <w:rPr>
          <w:color w:val="0070C0"/>
        </w:rPr>
        <w:t>.</w:t>
      </w:r>
      <w:r w:rsidR="00307CAF" w:rsidRPr="005B34EF">
        <w:t xml:space="preserve"> </w:t>
      </w:r>
    </w:p>
    <w:p w14:paraId="134680DB" w14:textId="77777777" w:rsidR="00805916" w:rsidRPr="005B34EF" w:rsidRDefault="00805916" w:rsidP="00FE3EA4">
      <w:pPr>
        <w:pStyle w:val="a6"/>
        <w:spacing w:before="0" w:beforeAutospacing="0" w:after="0" w:afterAutospacing="0" w:line="375" w:lineRule="atLeast"/>
        <w:textAlignment w:val="baseline"/>
        <w:rPr>
          <w:rFonts w:ascii="Verdana" w:hAnsi="Verdana" w:cs="Arial"/>
          <w:b/>
          <w:i/>
          <w:iCs/>
          <w:color w:val="000000"/>
          <w:spacing w:val="-2"/>
          <w:sz w:val="22"/>
          <w:szCs w:val="22"/>
          <w:bdr w:val="none" w:sz="0" w:space="0" w:color="auto" w:frame="1"/>
        </w:rPr>
      </w:pPr>
    </w:p>
    <w:p w14:paraId="6AA7A5B7" w14:textId="77777777" w:rsidR="00307CAF" w:rsidRPr="005B34EF" w:rsidRDefault="00307CAF" w:rsidP="00FE3EA4">
      <w:pPr>
        <w:pStyle w:val="a6"/>
        <w:spacing w:before="0" w:beforeAutospacing="0" w:after="375" w:afterAutospacing="0"/>
        <w:jc w:val="both"/>
        <w:textAlignment w:val="baseline"/>
        <w:rPr>
          <w:rFonts w:ascii="Verdana" w:hAnsi="Verdana"/>
          <w:b/>
          <w:bCs/>
          <w:i/>
          <w:iCs/>
          <w:color w:val="000000"/>
          <w:spacing w:val="-2"/>
          <w:sz w:val="22"/>
          <w:szCs w:val="22"/>
          <w:lang w:eastAsia="en-US"/>
        </w:rPr>
      </w:pPr>
      <w:r w:rsidRPr="005B34EF">
        <w:rPr>
          <w:rFonts w:ascii="Verdana" w:hAnsi="Verdana"/>
          <w:b/>
          <w:bCs/>
          <w:i/>
          <w:iCs/>
          <w:color w:val="000000"/>
          <w:spacing w:val="-2"/>
          <w:sz w:val="22"/>
          <w:szCs w:val="22"/>
        </w:rPr>
        <w:t>Справка:</w:t>
      </w:r>
    </w:p>
    <w:p w14:paraId="3C8D59F0" w14:textId="785E5CE7" w:rsidR="00307CAF" w:rsidRPr="005B34EF" w:rsidRDefault="00307CAF" w:rsidP="00FE3EA4">
      <w:pPr>
        <w:pStyle w:val="a6"/>
        <w:spacing w:before="0" w:beforeAutospacing="0" w:after="0" w:afterAutospacing="0"/>
        <w:jc w:val="both"/>
        <w:textAlignment w:val="baseline"/>
        <w:rPr>
          <w:rFonts w:ascii="Verdana" w:hAnsi="Verdana"/>
          <w:i/>
          <w:iCs/>
          <w:color w:val="000000"/>
          <w:spacing w:val="-2"/>
          <w:sz w:val="22"/>
          <w:szCs w:val="22"/>
        </w:rPr>
      </w:pPr>
      <w:r w:rsidRPr="005B34EF">
        <w:rPr>
          <w:rFonts w:ascii="Verdana" w:hAnsi="Verdana"/>
          <w:b/>
          <w:bCs/>
          <w:i/>
          <w:iCs/>
          <w:color w:val="000000"/>
          <w:spacing w:val="-2"/>
          <w:sz w:val="22"/>
          <w:szCs w:val="22"/>
          <w:bdr w:val="none" w:sz="0" w:space="0" w:color="auto" w:frame="1"/>
        </w:rPr>
        <w:t>Евразийский банк развития (ЕАБР) —</w:t>
      </w:r>
      <w:r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 xml:space="preserve"> многосторонний банк развития, осуществляющий инвестиционную деятельность на евразийском пространстве. Уже более 19 лет ЕАБР содействует укреплению и </w:t>
      </w:r>
      <w:proofErr w:type="gramStart"/>
      <w:r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>расширению экономических связей</w:t>
      </w:r>
      <w:proofErr w:type="gramEnd"/>
      <w:r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 xml:space="preserve"> и всестороннему развитию стран-участниц. К июлю 2025 года в накопленном портфеле ЕАБР 319 проектов с общим объемом инвестиций на сумму </w:t>
      </w:r>
      <w:r w:rsidR="00CD0A69"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>$</w:t>
      </w:r>
      <w:r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>19,1 млрд. Основную долю в портфеле ЕАБР занимают проекты с интеграционным эффектом в сферах транспортной инфраструктуры, цифровых систем, зеленой энергетики, сельского хозяйства, промышленности и машиностроения. В своей деятельности Банк руководствуется Целями в области устойчивого развития ООН и принципами ESG.</w:t>
      </w:r>
    </w:p>
    <w:p w14:paraId="15C01AB7" w14:textId="432C893C" w:rsidR="00307CAF" w:rsidRPr="005B34EF" w:rsidRDefault="00307CAF" w:rsidP="00FE3EA4">
      <w:pPr>
        <w:pStyle w:val="a6"/>
        <w:spacing w:before="0" w:beforeAutospacing="0" w:after="375" w:afterAutospacing="0"/>
        <w:jc w:val="both"/>
        <w:textAlignment w:val="baseline"/>
        <w:rPr>
          <w:rFonts w:ascii="Verdana" w:hAnsi="Verdana"/>
          <w:i/>
          <w:iCs/>
          <w:color w:val="000000"/>
          <w:spacing w:val="-2"/>
          <w:sz w:val="22"/>
          <w:szCs w:val="22"/>
        </w:rPr>
      </w:pPr>
      <w:r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>ЕАБР в рамках Стратегии 2022–2026 реализует 3 мегапроекта: «Водно-энергетический комплекс Центральной Азии», «Евразийский транспортный каркас», «Евразийская товаропроводящая сеть».</w:t>
      </w:r>
    </w:p>
    <w:p w14:paraId="05CD9FBF" w14:textId="29C201A0" w:rsidR="00307CAF" w:rsidRPr="005B34EF" w:rsidRDefault="00307CAF" w:rsidP="00FE3EA4">
      <w:pPr>
        <w:pStyle w:val="a6"/>
        <w:spacing w:before="0" w:beforeAutospacing="0" w:after="0" w:afterAutospacing="0"/>
        <w:jc w:val="both"/>
        <w:textAlignment w:val="baseline"/>
        <w:rPr>
          <w:rFonts w:ascii="Verdana" w:hAnsi="Verdana"/>
          <w:b/>
          <w:bCs/>
          <w:color w:val="000000"/>
          <w:spacing w:val="-2"/>
          <w:sz w:val="22"/>
          <w:szCs w:val="22"/>
        </w:rPr>
      </w:pPr>
      <w:r w:rsidRPr="005B34EF">
        <w:rPr>
          <w:rFonts w:ascii="Verdana" w:hAnsi="Verdana"/>
          <w:b/>
          <w:bCs/>
          <w:color w:val="000000"/>
          <w:spacing w:val="-2"/>
          <w:sz w:val="22"/>
          <w:szCs w:val="22"/>
        </w:rPr>
        <w:t>Контакты пресс-центра ЕАБР:</w:t>
      </w:r>
    </w:p>
    <w:p w14:paraId="3C761DE1" w14:textId="4597861B" w:rsidR="00307CAF" w:rsidRPr="005B34EF" w:rsidRDefault="00307CAF" w:rsidP="00FE3EA4">
      <w:pPr>
        <w:pStyle w:val="a6"/>
        <w:spacing w:before="0" w:beforeAutospacing="0" w:after="0" w:afterAutospacing="0"/>
        <w:jc w:val="both"/>
        <w:textAlignment w:val="baseline"/>
        <w:rPr>
          <w:rFonts w:ascii="Verdana" w:hAnsi="Verdana"/>
          <w:i/>
          <w:iCs/>
          <w:color w:val="000000"/>
          <w:spacing w:val="-2"/>
          <w:sz w:val="22"/>
          <w:szCs w:val="22"/>
        </w:rPr>
      </w:pPr>
      <w:r w:rsidRPr="005B34EF">
        <w:rPr>
          <w:rFonts w:ascii="Verdana" w:hAnsi="Verdana"/>
          <w:i/>
          <w:iCs/>
          <w:color w:val="000000"/>
          <w:spacing w:val="-2"/>
          <w:sz w:val="22"/>
          <w:szCs w:val="22"/>
        </w:rPr>
        <w:t>+7 (727) 244 40 44, доб. 4774 и 2160</w:t>
      </w:r>
    </w:p>
    <w:p w14:paraId="1A65231F" w14:textId="77777777" w:rsidR="00307CAF" w:rsidRPr="005B34EF" w:rsidRDefault="00583E1E" w:rsidP="00FE3EA4">
      <w:pPr>
        <w:pStyle w:val="a6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pacing w:val="-2"/>
          <w:sz w:val="22"/>
          <w:szCs w:val="22"/>
          <w:lang w:eastAsia="en-US"/>
        </w:rPr>
      </w:pPr>
      <w:hyperlink r:id="rId9" w:history="1"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  <w:lang w:val="en-US"/>
          </w:rPr>
          <w:t>pressa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</w:rPr>
          <w:t>@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  <w:lang w:val="en-US"/>
          </w:rPr>
          <w:t>eabr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</w:rPr>
          <w:t>.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  <w:lang w:val="en-US"/>
          </w:rPr>
          <w:t>org</w:t>
        </w:r>
      </w:hyperlink>
    </w:p>
    <w:p w14:paraId="350122B2" w14:textId="77777777" w:rsidR="00307CAF" w:rsidRPr="005B34EF" w:rsidRDefault="00583E1E" w:rsidP="00FE3EA4">
      <w:pPr>
        <w:pStyle w:val="a6"/>
        <w:spacing w:before="0" w:beforeAutospacing="0" w:after="0" w:afterAutospacing="0"/>
        <w:jc w:val="both"/>
        <w:textAlignment w:val="baseline"/>
        <w:rPr>
          <w:rFonts w:ascii="Verdana" w:hAnsi="Verdana"/>
          <w:i/>
          <w:iCs/>
          <w:color w:val="000000"/>
          <w:spacing w:val="-2"/>
          <w:sz w:val="22"/>
          <w:szCs w:val="22"/>
        </w:rPr>
      </w:pPr>
      <w:hyperlink r:id="rId10" w:history="1"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  <w:lang w:val="en-US"/>
          </w:rPr>
          <w:t>http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</w:rPr>
          <w:t>://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  <w:lang w:val="en-US"/>
          </w:rPr>
          <w:t>eabr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</w:rPr>
          <w:t>.</w:t>
        </w:r>
        <w:r w:rsidR="00307CAF" w:rsidRPr="005B34EF">
          <w:rPr>
            <w:rStyle w:val="a7"/>
            <w:rFonts w:ascii="Verdana" w:hAnsi="Verdana"/>
            <w:i/>
            <w:iCs/>
            <w:spacing w:val="-2"/>
            <w:sz w:val="22"/>
            <w:szCs w:val="22"/>
            <w:bdr w:val="none" w:sz="0" w:space="0" w:color="auto" w:frame="1"/>
            <w:lang w:val="en-US"/>
          </w:rPr>
          <w:t>org</w:t>
        </w:r>
      </w:hyperlink>
    </w:p>
    <w:p w14:paraId="5F994EDA" w14:textId="0F91E26A" w:rsidR="00805916" w:rsidRPr="005B34EF" w:rsidRDefault="00805916" w:rsidP="00FE3EA4">
      <w:pPr>
        <w:pStyle w:val="a6"/>
        <w:spacing w:before="0" w:beforeAutospacing="0" w:after="0" w:afterAutospacing="0" w:line="375" w:lineRule="atLeast"/>
        <w:jc w:val="both"/>
        <w:textAlignment w:val="baseline"/>
        <w:rPr>
          <w:rFonts w:ascii="Verdana" w:hAnsi="Verdana"/>
        </w:rPr>
      </w:pPr>
    </w:p>
    <w:sectPr w:rsidR="00805916" w:rsidRPr="005B34EF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48260" w14:textId="77777777" w:rsidR="00762CC6" w:rsidRDefault="00762CC6">
      <w:pPr>
        <w:spacing w:after="0" w:line="240" w:lineRule="auto"/>
      </w:pPr>
      <w:r>
        <w:separator/>
      </w:r>
    </w:p>
  </w:endnote>
  <w:endnote w:type="continuationSeparator" w:id="0">
    <w:p w14:paraId="138A8D0A" w14:textId="77777777" w:rsidR="00762CC6" w:rsidRDefault="0076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318620"/>
      <w:docPartObj>
        <w:docPartGallery w:val="Page Numbers (Bottom of Page)"/>
        <w:docPartUnique/>
      </w:docPartObj>
    </w:sdtPr>
    <w:sdtEndPr/>
    <w:sdtContent>
      <w:p w14:paraId="0F209615" w14:textId="6187115C" w:rsidR="00307CAF" w:rsidRDefault="00307C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E1E">
          <w:rPr>
            <w:noProof/>
          </w:rPr>
          <w:t>4</w:t>
        </w:r>
        <w:r>
          <w:fldChar w:fldCharType="end"/>
        </w:r>
      </w:p>
    </w:sdtContent>
  </w:sdt>
  <w:p w14:paraId="702A61E4" w14:textId="77777777" w:rsidR="00307CAF" w:rsidRDefault="00307CA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1C615" w14:textId="77777777" w:rsidR="00762CC6" w:rsidRDefault="00762CC6">
      <w:pPr>
        <w:spacing w:after="0" w:line="240" w:lineRule="auto"/>
      </w:pPr>
      <w:r>
        <w:separator/>
      </w:r>
    </w:p>
  </w:footnote>
  <w:footnote w:type="continuationSeparator" w:id="0">
    <w:p w14:paraId="0994CF82" w14:textId="77777777" w:rsidR="00762CC6" w:rsidRDefault="0076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623E8" w14:textId="0F9CEF0B" w:rsidR="00406C14" w:rsidRDefault="00406C14">
    <w:pPr>
      <w:pStyle w:val="af4"/>
      <w:rPr>
        <w:rFonts w:asciiTheme="minorHAnsi" w:hAnsiTheme="minorHAnsi"/>
      </w:rPr>
    </w:pPr>
    <w:r>
      <w:rPr>
        <w:noProof/>
        <w:lang w:eastAsia="ru-RU"/>
      </w:rPr>
      <w:drawing>
        <wp:inline distT="0" distB="0" distL="0" distR="0" wp14:anchorId="72ED70BE" wp14:editId="1A0B3105">
          <wp:extent cx="1715135" cy="427990"/>
          <wp:effectExtent l="0" t="0" r="0" b="0"/>
          <wp:docPr id="2" name="Рисунок 2" descr="C:\Users\alpatova_ia\AppData\Local\Temp\df0f0e65-2ed0-458d-b2e9-3f48e919ea14_RGB.zip.a14\RGB\04 logo ENG_new\RGB_logo ENG_new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:\Users\alpatova_ia\AppData\Local\Temp\df0f0e65-2ed0-458d-b2e9-3f48e919ea14_RGB.zip.a14\RGB\04 logo ENG_new\RGB_logo ENG_n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513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8B3817" w14:textId="77777777" w:rsidR="00406C14" w:rsidRPr="00406C14" w:rsidRDefault="00406C14">
    <w:pPr>
      <w:pStyle w:val="af4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735"/>
    <w:multiLevelType w:val="multilevel"/>
    <w:tmpl w:val="FFB2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872ED"/>
    <w:multiLevelType w:val="hybridMultilevel"/>
    <w:tmpl w:val="76CE4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1DFD"/>
    <w:multiLevelType w:val="multilevel"/>
    <w:tmpl w:val="6FCE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74345"/>
    <w:multiLevelType w:val="hybridMultilevel"/>
    <w:tmpl w:val="356C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C170F"/>
    <w:multiLevelType w:val="hybridMultilevel"/>
    <w:tmpl w:val="80B8B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F4585"/>
    <w:multiLevelType w:val="hybridMultilevel"/>
    <w:tmpl w:val="982A0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B00DF"/>
    <w:multiLevelType w:val="hybridMultilevel"/>
    <w:tmpl w:val="0EFA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6249F"/>
    <w:multiLevelType w:val="hybridMultilevel"/>
    <w:tmpl w:val="33DE1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424B5"/>
    <w:multiLevelType w:val="hybridMultilevel"/>
    <w:tmpl w:val="C5B89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36D7E"/>
    <w:multiLevelType w:val="hybridMultilevel"/>
    <w:tmpl w:val="A6384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26370"/>
    <w:multiLevelType w:val="hybridMultilevel"/>
    <w:tmpl w:val="3C2CD9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082835"/>
    <w:multiLevelType w:val="hybridMultilevel"/>
    <w:tmpl w:val="4EF0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84468"/>
    <w:multiLevelType w:val="hybridMultilevel"/>
    <w:tmpl w:val="61F6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A4A4E"/>
    <w:multiLevelType w:val="hybridMultilevel"/>
    <w:tmpl w:val="B022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84A40"/>
    <w:multiLevelType w:val="hybridMultilevel"/>
    <w:tmpl w:val="5F941822"/>
    <w:lvl w:ilvl="0" w:tplc="2D02280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C13BF"/>
    <w:multiLevelType w:val="hybridMultilevel"/>
    <w:tmpl w:val="1F0C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467C4"/>
    <w:multiLevelType w:val="hybridMultilevel"/>
    <w:tmpl w:val="3858F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0"/>
  </w:num>
  <w:num w:numId="5">
    <w:abstractNumId w:val="9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8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1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18"/>
    <w:rsid w:val="0000398B"/>
    <w:rsid w:val="00013511"/>
    <w:rsid w:val="00016C51"/>
    <w:rsid w:val="00027D95"/>
    <w:rsid w:val="00034F28"/>
    <w:rsid w:val="000743B0"/>
    <w:rsid w:val="00081574"/>
    <w:rsid w:val="000928AD"/>
    <w:rsid w:val="00094BF6"/>
    <w:rsid w:val="000C4F4D"/>
    <w:rsid w:val="000D322F"/>
    <w:rsid w:val="000D697F"/>
    <w:rsid w:val="000E72D7"/>
    <w:rsid w:val="000E7E50"/>
    <w:rsid w:val="00101E4F"/>
    <w:rsid w:val="001107A1"/>
    <w:rsid w:val="0011656C"/>
    <w:rsid w:val="00121208"/>
    <w:rsid w:val="0012771A"/>
    <w:rsid w:val="00134897"/>
    <w:rsid w:val="00134F14"/>
    <w:rsid w:val="001469E1"/>
    <w:rsid w:val="00147F3C"/>
    <w:rsid w:val="00160FC1"/>
    <w:rsid w:val="00165D08"/>
    <w:rsid w:val="00177325"/>
    <w:rsid w:val="00195EDB"/>
    <w:rsid w:val="00196102"/>
    <w:rsid w:val="0019744B"/>
    <w:rsid w:val="001F77D6"/>
    <w:rsid w:val="00202233"/>
    <w:rsid w:val="00202BBF"/>
    <w:rsid w:val="00204361"/>
    <w:rsid w:val="00204D57"/>
    <w:rsid w:val="00207FEC"/>
    <w:rsid w:val="00217CFD"/>
    <w:rsid w:val="00237C32"/>
    <w:rsid w:val="00255D2E"/>
    <w:rsid w:val="00282FA9"/>
    <w:rsid w:val="002B322F"/>
    <w:rsid w:val="002D69E8"/>
    <w:rsid w:val="00303FF0"/>
    <w:rsid w:val="00307CAF"/>
    <w:rsid w:val="00311770"/>
    <w:rsid w:val="00315C2E"/>
    <w:rsid w:val="003319D1"/>
    <w:rsid w:val="00333E74"/>
    <w:rsid w:val="00352294"/>
    <w:rsid w:val="00372D18"/>
    <w:rsid w:val="00391D29"/>
    <w:rsid w:val="003955A1"/>
    <w:rsid w:val="003A2C81"/>
    <w:rsid w:val="003A7D5D"/>
    <w:rsid w:val="003B01A5"/>
    <w:rsid w:val="003B745A"/>
    <w:rsid w:val="003C02E9"/>
    <w:rsid w:val="003D1D6D"/>
    <w:rsid w:val="003D245A"/>
    <w:rsid w:val="003E3423"/>
    <w:rsid w:val="003E3566"/>
    <w:rsid w:val="003E7021"/>
    <w:rsid w:val="00406C14"/>
    <w:rsid w:val="00420923"/>
    <w:rsid w:val="00421211"/>
    <w:rsid w:val="00434994"/>
    <w:rsid w:val="004402F6"/>
    <w:rsid w:val="00462EC9"/>
    <w:rsid w:val="00472464"/>
    <w:rsid w:val="0048488E"/>
    <w:rsid w:val="00486773"/>
    <w:rsid w:val="004A19A1"/>
    <w:rsid w:val="004B5E75"/>
    <w:rsid w:val="004F02E4"/>
    <w:rsid w:val="004F3C6E"/>
    <w:rsid w:val="004F4DBE"/>
    <w:rsid w:val="004F50A7"/>
    <w:rsid w:val="00502371"/>
    <w:rsid w:val="005070FC"/>
    <w:rsid w:val="0053799F"/>
    <w:rsid w:val="00543F24"/>
    <w:rsid w:val="005640F4"/>
    <w:rsid w:val="0057266D"/>
    <w:rsid w:val="00580A62"/>
    <w:rsid w:val="00583E1E"/>
    <w:rsid w:val="0059261D"/>
    <w:rsid w:val="005948B8"/>
    <w:rsid w:val="00597A5B"/>
    <w:rsid w:val="005B34EF"/>
    <w:rsid w:val="005B5245"/>
    <w:rsid w:val="005E6057"/>
    <w:rsid w:val="00620774"/>
    <w:rsid w:val="006327D1"/>
    <w:rsid w:val="006642A7"/>
    <w:rsid w:val="00672B92"/>
    <w:rsid w:val="006773BE"/>
    <w:rsid w:val="00680EEF"/>
    <w:rsid w:val="00687159"/>
    <w:rsid w:val="00687882"/>
    <w:rsid w:val="006C0F47"/>
    <w:rsid w:val="006D2E4D"/>
    <w:rsid w:val="006F2B06"/>
    <w:rsid w:val="007030EE"/>
    <w:rsid w:val="00746DD3"/>
    <w:rsid w:val="0075738F"/>
    <w:rsid w:val="00760818"/>
    <w:rsid w:val="00762CC6"/>
    <w:rsid w:val="007664A6"/>
    <w:rsid w:val="007A23D3"/>
    <w:rsid w:val="007B16FD"/>
    <w:rsid w:val="007C46AA"/>
    <w:rsid w:val="007C5CAC"/>
    <w:rsid w:val="007D2700"/>
    <w:rsid w:val="007D4E8A"/>
    <w:rsid w:val="007D519A"/>
    <w:rsid w:val="007F1B87"/>
    <w:rsid w:val="00804DFB"/>
    <w:rsid w:val="00805916"/>
    <w:rsid w:val="008353EC"/>
    <w:rsid w:val="008475C5"/>
    <w:rsid w:val="00850E37"/>
    <w:rsid w:val="00856170"/>
    <w:rsid w:val="008767B0"/>
    <w:rsid w:val="008A1032"/>
    <w:rsid w:val="008A1C32"/>
    <w:rsid w:val="008B75C5"/>
    <w:rsid w:val="008E189E"/>
    <w:rsid w:val="008E1A96"/>
    <w:rsid w:val="009006A9"/>
    <w:rsid w:val="0090195D"/>
    <w:rsid w:val="00940D6F"/>
    <w:rsid w:val="00950DA4"/>
    <w:rsid w:val="00981070"/>
    <w:rsid w:val="00996787"/>
    <w:rsid w:val="0099681D"/>
    <w:rsid w:val="009A2AC1"/>
    <w:rsid w:val="009C10FD"/>
    <w:rsid w:val="009C7215"/>
    <w:rsid w:val="009D3A37"/>
    <w:rsid w:val="009E2C8F"/>
    <w:rsid w:val="009E2F3A"/>
    <w:rsid w:val="009F0EFB"/>
    <w:rsid w:val="009F59F4"/>
    <w:rsid w:val="00A50815"/>
    <w:rsid w:val="00A549E7"/>
    <w:rsid w:val="00A62ED2"/>
    <w:rsid w:val="00A632FE"/>
    <w:rsid w:val="00AC2127"/>
    <w:rsid w:val="00AE2424"/>
    <w:rsid w:val="00AE4E9C"/>
    <w:rsid w:val="00B019ED"/>
    <w:rsid w:val="00B0526B"/>
    <w:rsid w:val="00B14C4C"/>
    <w:rsid w:val="00B25D8C"/>
    <w:rsid w:val="00B31ECF"/>
    <w:rsid w:val="00B364E5"/>
    <w:rsid w:val="00B36F2F"/>
    <w:rsid w:val="00B42B6C"/>
    <w:rsid w:val="00B5304F"/>
    <w:rsid w:val="00B57143"/>
    <w:rsid w:val="00B72F81"/>
    <w:rsid w:val="00B82B29"/>
    <w:rsid w:val="00B83A46"/>
    <w:rsid w:val="00B86C5B"/>
    <w:rsid w:val="00BA429B"/>
    <w:rsid w:val="00BC3E61"/>
    <w:rsid w:val="00BC4036"/>
    <w:rsid w:val="00BD30D8"/>
    <w:rsid w:val="00BE60A4"/>
    <w:rsid w:val="00C05447"/>
    <w:rsid w:val="00C14435"/>
    <w:rsid w:val="00C3264A"/>
    <w:rsid w:val="00C40E4C"/>
    <w:rsid w:val="00C45DEB"/>
    <w:rsid w:val="00C4727A"/>
    <w:rsid w:val="00C52AAA"/>
    <w:rsid w:val="00C5374B"/>
    <w:rsid w:val="00C7027C"/>
    <w:rsid w:val="00C85916"/>
    <w:rsid w:val="00C8709B"/>
    <w:rsid w:val="00C94C5D"/>
    <w:rsid w:val="00CA1AAC"/>
    <w:rsid w:val="00CB4158"/>
    <w:rsid w:val="00CC6A06"/>
    <w:rsid w:val="00CD0A69"/>
    <w:rsid w:val="00CE40BA"/>
    <w:rsid w:val="00CE62A2"/>
    <w:rsid w:val="00D10ECE"/>
    <w:rsid w:val="00D253DA"/>
    <w:rsid w:val="00D31045"/>
    <w:rsid w:val="00D3467B"/>
    <w:rsid w:val="00D34E07"/>
    <w:rsid w:val="00D3624A"/>
    <w:rsid w:val="00D53098"/>
    <w:rsid w:val="00D5606B"/>
    <w:rsid w:val="00DB2E67"/>
    <w:rsid w:val="00DD3C25"/>
    <w:rsid w:val="00DD60E1"/>
    <w:rsid w:val="00DD62B4"/>
    <w:rsid w:val="00DE7FD4"/>
    <w:rsid w:val="00E028C9"/>
    <w:rsid w:val="00E11BB9"/>
    <w:rsid w:val="00E126C0"/>
    <w:rsid w:val="00E23327"/>
    <w:rsid w:val="00E27687"/>
    <w:rsid w:val="00E5392A"/>
    <w:rsid w:val="00E5438E"/>
    <w:rsid w:val="00E55EE6"/>
    <w:rsid w:val="00E65A46"/>
    <w:rsid w:val="00E73359"/>
    <w:rsid w:val="00E9414C"/>
    <w:rsid w:val="00E95826"/>
    <w:rsid w:val="00EA4B80"/>
    <w:rsid w:val="00EA5230"/>
    <w:rsid w:val="00EB342F"/>
    <w:rsid w:val="00EC50DE"/>
    <w:rsid w:val="00EE7F3D"/>
    <w:rsid w:val="00EF0FD4"/>
    <w:rsid w:val="00F10592"/>
    <w:rsid w:val="00F176EA"/>
    <w:rsid w:val="00F27A79"/>
    <w:rsid w:val="00F3581D"/>
    <w:rsid w:val="00F41376"/>
    <w:rsid w:val="00F50062"/>
    <w:rsid w:val="00F50A17"/>
    <w:rsid w:val="00F67150"/>
    <w:rsid w:val="00F72DAD"/>
    <w:rsid w:val="00F83D35"/>
    <w:rsid w:val="00F87180"/>
    <w:rsid w:val="00F9323E"/>
    <w:rsid w:val="00F93CCC"/>
    <w:rsid w:val="00FB3E99"/>
    <w:rsid w:val="00FC0E68"/>
    <w:rsid w:val="00FC59F4"/>
    <w:rsid w:val="00FE3EA4"/>
    <w:rsid w:val="00FE485D"/>
    <w:rsid w:val="00FE4DBC"/>
    <w:rsid w:val="00FE5659"/>
    <w:rsid w:val="00FE7DAA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41A8"/>
  <w15:chartTrackingRefBased/>
  <w15:docId w15:val="{E557C086-70BE-4EAF-868F-6A5BBDED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574"/>
    <w:rPr>
      <w:rFonts w:ascii="Roboto" w:hAnsi="Roboto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9ED"/>
    <w:pPr>
      <w:keepNext/>
      <w:keepLines/>
      <w:spacing w:before="40" w:after="0" w:line="278" w:lineRule="auto"/>
      <w:outlineLvl w:val="5"/>
    </w:pPr>
    <w:rPr>
      <w:rFonts w:ascii="Verdana" w:eastAsiaTheme="majorEastAsia" w:hAnsi="Verdan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57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81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81574"/>
    <w:rPr>
      <w:rFonts w:ascii="Roboto" w:hAnsi="Roboto"/>
    </w:rPr>
  </w:style>
  <w:style w:type="paragraph" w:styleId="a6">
    <w:name w:val="Normal (Web)"/>
    <w:basedOn w:val="a"/>
    <w:uiPriority w:val="99"/>
    <w:unhideWhenUsed/>
    <w:rsid w:val="0008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081574"/>
    <w:rPr>
      <w:color w:val="0563C1"/>
      <w:u w:val="single"/>
    </w:rPr>
  </w:style>
  <w:style w:type="paragraph" w:customStyle="1" w:styleId="AZA-Text">
    <w:name w:val="AZA-Text"/>
    <w:basedOn w:val="a"/>
    <w:link w:val="AZA-Text0"/>
    <w:qFormat/>
    <w:rsid w:val="00081574"/>
    <w:pPr>
      <w:spacing w:before="240" w:after="0" w:line="240" w:lineRule="auto"/>
      <w:jc w:val="both"/>
    </w:pPr>
    <w:rPr>
      <w:rFonts w:ascii="Verdana" w:eastAsia="Calibri" w:hAnsi="Verdana" w:cs="Times New Roman"/>
    </w:rPr>
  </w:style>
  <w:style w:type="character" w:customStyle="1" w:styleId="AZA-Text0">
    <w:name w:val="AZA-Text Знак"/>
    <w:link w:val="AZA-Text"/>
    <w:rsid w:val="00081574"/>
    <w:rPr>
      <w:rFonts w:ascii="Verdana" w:eastAsia="Calibri" w:hAnsi="Verdana" w:cs="Times New Roman"/>
    </w:rPr>
  </w:style>
  <w:style w:type="character" w:styleId="a8">
    <w:name w:val="Strong"/>
    <w:basedOn w:val="a0"/>
    <w:uiPriority w:val="22"/>
    <w:qFormat/>
    <w:rsid w:val="00746DD3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CB415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B415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B4158"/>
    <w:rPr>
      <w:rFonts w:ascii="Roboto" w:hAnsi="Roboto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B415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B4158"/>
    <w:rPr>
      <w:rFonts w:ascii="Roboto" w:hAnsi="Roboto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B4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B4158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8767B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767B0"/>
    <w:rPr>
      <w:rFonts w:ascii="Roboto" w:hAnsi="Roboto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767B0"/>
    <w:rPr>
      <w:vertAlign w:val="superscript"/>
    </w:rPr>
  </w:style>
  <w:style w:type="paragraph" w:styleId="af3">
    <w:name w:val="Revision"/>
    <w:hidden/>
    <w:uiPriority w:val="99"/>
    <w:semiHidden/>
    <w:rsid w:val="008E189E"/>
    <w:pPr>
      <w:spacing w:after="0" w:line="240" w:lineRule="auto"/>
    </w:pPr>
    <w:rPr>
      <w:rFonts w:ascii="Roboto" w:hAnsi="Roboto"/>
    </w:rPr>
  </w:style>
  <w:style w:type="character" w:customStyle="1" w:styleId="60">
    <w:name w:val="Заголовок 6 Знак"/>
    <w:basedOn w:val="a0"/>
    <w:link w:val="6"/>
    <w:uiPriority w:val="9"/>
    <w:semiHidden/>
    <w:rsid w:val="00B019ED"/>
    <w:rPr>
      <w:rFonts w:ascii="Verdana" w:eastAsiaTheme="majorEastAsia" w:hAnsi="Verdan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af4">
    <w:name w:val="header"/>
    <w:basedOn w:val="a"/>
    <w:link w:val="af5"/>
    <w:uiPriority w:val="99"/>
    <w:unhideWhenUsed/>
    <w:rsid w:val="00406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06C14"/>
    <w:rPr>
      <w:rFonts w:ascii="Roboto" w:hAnsi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abr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a@eabr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875BA-0317-44AA-9ECA-D16A7A6B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Айдос Толеубекович</dc:creator>
  <cp:keywords/>
  <dc:description/>
  <cp:lastModifiedBy>Шаманова Татьяна Александровна</cp:lastModifiedBy>
  <cp:revision>3</cp:revision>
  <dcterms:created xsi:type="dcterms:W3CDTF">2025-12-24T10:20:00Z</dcterms:created>
  <dcterms:modified xsi:type="dcterms:W3CDTF">2025-12-24T14:48:00Z</dcterms:modified>
</cp:coreProperties>
</file>